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方正小标宋简体"/>
          <w:sz w:val="36"/>
          <w:szCs w:val="36"/>
        </w:rPr>
      </w:pPr>
      <w:r>
        <w:rPr>
          <w:rFonts w:hint="eastAsia" w:ascii="Times New Roman" w:hAnsi="Times New Roman" w:eastAsia="方正小标宋简体"/>
          <w:sz w:val="36"/>
          <w:szCs w:val="36"/>
        </w:rPr>
        <w:t>丽水市区污染源自动监控系统运行维护</w:t>
      </w:r>
    </w:p>
    <w:p>
      <w:pPr>
        <w:spacing w:line="600" w:lineRule="exact"/>
        <w:jc w:val="center"/>
        <w:rPr>
          <w:rFonts w:hint="eastAsia" w:ascii="Times New Roman" w:hAnsi="Times New Roman" w:eastAsia="方正小标宋简体"/>
          <w:sz w:val="36"/>
          <w:szCs w:val="36"/>
          <w:lang w:eastAsia="zh-CN"/>
        </w:rPr>
      </w:pPr>
      <w:r>
        <w:rPr>
          <w:rFonts w:hint="eastAsia" w:ascii="Times New Roman" w:hAnsi="Times New Roman" w:eastAsia="方正小标宋简体"/>
          <w:sz w:val="36"/>
          <w:szCs w:val="36"/>
        </w:rPr>
        <w:t>工作考核管理办法</w:t>
      </w:r>
      <w:r>
        <w:rPr>
          <w:rFonts w:hint="eastAsia" w:ascii="Times New Roman" w:hAnsi="Times New Roman" w:eastAsia="方正小标宋简体"/>
          <w:sz w:val="36"/>
          <w:szCs w:val="36"/>
          <w:lang w:eastAsia="zh-CN"/>
        </w:rPr>
        <w:t>（</w:t>
      </w:r>
      <w:r>
        <w:rPr>
          <w:rFonts w:hint="eastAsia" w:ascii="Times New Roman" w:hAnsi="Times New Roman" w:eastAsia="方正小标宋简体"/>
          <w:sz w:val="36"/>
          <w:szCs w:val="36"/>
          <w:lang w:val="en-US" w:eastAsia="zh-CN"/>
        </w:rPr>
        <w:t>试行</w:t>
      </w:r>
      <w:r>
        <w:rPr>
          <w:rFonts w:hint="eastAsia" w:ascii="Times New Roman" w:hAnsi="Times New Roman" w:eastAsia="方正小标宋简体"/>
          <w:sz w:val="36"/>
          <w:szCs w:val="36"/>
          <w:lang w:eastAsia="zh-CN"/>
        </w:rPr>
        <w:t>）</w:t>
      </w:r>
    </w:p>
    <w:p>
      <w:pPr>
        <w:spacing w:line="600" w:lineRule="exact"/>
        <w:rPr>
          <w:rFonts w:ascii="Times New Roman" w:hAnsi="Times New Roman" w:eastAsia="方正小标宋简体"/>
          <w:sz w:val="36"/>
          <w:szCs w:val="36"/>
        </w:rPr>
      </w:pPr>
    </w:p>
    <w:p>
      <w:pPr>
        <w:spacing w:line="600" w:lineRule="exact"/>
        <w:ind w:firstLine="645"/>
        <w:rPr>
          <w:rFonts w:ascii="Times New Roman" w:hAnsi="Times New Roman" w:eastAsia="仿宋_GB2312"/>
          <w:sz w:val="32"/>
          <w:szCs w:val="32"/>
        </w:rPr>
      </w:pPr>
      <w:r>
        <w:rPr>
          <w:rFonts w:hint="eastAsia" w:ascii="Times New Roman" w:hAnsi="Times New Roman" w:eastAsia="仿宋_GB2312"/>
          <w:sz w:val="32"/>
          <w:szCs w:val="32"/>
        </w:rPr>
        <w:t>为规范污染源在线监控设施（以下简称设施）运维管理，充分发挥设施对污染源的即时连续监督作用，</w:t>
      </w:r>
      <w:r>
        <w:rPr>
          <w:rFonts w:hint="eastAsia" w:ascii="Times New Roman" w:hAnsi="Times New Roman" w:eastAsia="仿宋_GB2312" w:cs="仿宋"/>
          <w:sz w:val="32"/>
          <w:szCs w:val="32"/>
        </w:rPr>
        <w:t>根据《污染源自动监控管理办法》（国家环境保护总局令第28号）、《污染源自动监控设施现场监督检查办法环保部令第19号）等国家、省相关规定，</w:t>
      </w:r>
      <w:r>
        <w:rPr>
          <w:rFonts w:hint="eastAsia" w:ascii="Times New Roman" w:hAnsi="Times New Roman" w:eastAsia="仿宋_GB2312"/>
          <w:sz w:val="32"/>
          <w:szCs w:val="32"/>
        </w:rPr>
        <w:t>特制订本办法。</w:t>
      </w:r>
    </w:p>
    <w:p>
      <w:pPr>
        <w:spacing w:line="600" w:lineRule="exact"/>
        <w:ind w:firstLine="645"/>
        <w:rPr>
          <w:rFonts w:ascii="Times New Roman" w:hAnsi="Times New Roman" w:eastAsia="仿宋_GB2312"/>
          <w:b/>
          <w:bCs/>
          <w:sz w:val="32"/>
          <w:szCs w:val="32"/>
        </w:rPr>
      </w:pPr>
      <w:r>
        <w:rPr>
          <w:rFonts w:hint="eastAsia" w:ascii="Times New Roman" w:hAnsi="Times New Roman" w:eastAsia="仿宋_GB2312"/>
          <w:b/>
          <w:bCs/>
          <w:sz w:val="32"/>
          <w:szCs w:val="32"/>
        </w:rPr>
        <w:t>一、考核原则</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落实企业主体责任。污染源在线监控设施是依法设立的企业污染防治设施之一，企业对污染源在线监控设施的正常运行负主体责任。各相关企业应强化责任主体意识，切实履行企业义务（包括站房面积、稳压电源、空调、灭火器等基础设施的配备完善和排污口、在线监控管路建设的规范性），加强沟通协调，监督运维单位做好运维工作，切实提高污染源在线监控系统的数据传输有效率。对因排污企业原因造成设施不正常的，企业应依据相关法律法规承担责任，接受处罚。</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二）规范运行维护管理要求。对故障和数据异常等情况要及时响应处理，日间报警应在当日报结，夜间和节假日报警应在2日内报结。要加强质控措施，提高设备比对监测通过率，对设施需要修理或更换的，第三方运维单位应书面向服务企业提出建议，同时报市、县生态环境局。要建立信息报告制度，按规定及时报告企业停电、停产等有关信息。</w:t>
      </w:r>
    </w:p>
    <w:p>
      <w:pPr>
        <w:spacing w:line="600" w:lineRule="exact"/>
        <w:ind w:firstLine="643" w:firstLineChars="200"/>
        <w:rPr>
          <w:rFonts w:ascii="Times New Roman" w:hAnsi="Times New Roman" w:eastAsia="仿宋_GB2312"/>
          <w:b/>
          <w:bCs/>
          <w:sz w:val="32"/>
          <w:szCs w:val="32"/>
        </w:rPr>
      </w:pPr>
      <w:r>
        <w:rPr>
          <w:rFonts w:hint="eastAsia" w:ascii="Times New Roman" w:hAnsi="Times New Roman" w:eastAsia="仿宋_GB2312"/>
          <w:b/>
          <w:bCs/>
          <w:sz w:val="32"/>
          <w:szCs w:val="32"/>
        </w:rPr>
        <w:t>二、考核办法</w:t>
      </w:r>
    </w:p>
    <w:p>
      <w:p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（一）考核内容</w:t>
      </w:r>
    </w:p>
    <w:p>
      <w:pPr>
        <w:spacing w:line="600" w:lineRule="exact"/>
        <w:ind w:firstLine="640" w:firstLineChars="200"/>
        <w:rPr>
          <w:rFonts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根据《污染源自动监控管理办法》（国家环境保护总局令</w:t>
      </w:r>
      <w:r>
        <w:rPr>
          <w:rFonts w:hint="eastAsia" w:ascii="宋体" w:hAnsi="宋体" w:eastAsia="宋体"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14:textFill>
            <w14:solidFill>
              <w14:schemeClr w14:val="tx1"/>
            </w14:solidFill>
          </w14:textFill>
        </w:rPr>
        <w:t>2005</w:t>
      </w:r>
      <w:r>
        <w:rPr>
          <w:rFonts w:hint="eastAsia" w:ascii="宋体" w:hAnsi="宋体" w:eastAsia="宋体"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14:textFill>
            <w14:solidFill>
              <w14:schemeClr w14:val="tx1"/>
            </w14:solidFill>
          </w14:textFill>
        </w:rPr>
        <w:t>第28号）、《污染源自动监控设施现场监督检查办法》（环保部令</w:t>
      </w:r>
      <w:r>
        <w:rPr>
          <w:rFonts w:hint="eastAsia" w:ascii="宋体" w:hAnsi="宋体" w:eastAsia="宋体"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14:textFill>
            <w14:solidFill>
              <w14:schemeClr w14:val="tx1"/>
            </w14:solidFill>
          </w14:textFill>
        </w:rPr>
        <w:t>2012</w:t>
      </w:r>
      <w:r>
        <w:rPr>
          <w:rFonts w:hint="eastAsia" w:ascii="宋体" w:hAnsi="宋体" w:eastAsia="宋体" w:cs="仿宋"/>
          <w:color w:val="000000" w:themeColor="text1"/>
          <w:sz w:val="32"/>
          <w:szCs w:val="32"/>
          <w14:textFill>
            <w14:solidFill>
              <w14:schemeClr w14:val="tx1"/>
            </w14:solidFill>
          </w14:textFill>
        </w:rPr>
        <w:t>﹞</w:t>
      </w:r>
      <w:r>
        <w:rPr>
          <w:rFonts w:hint="eastAsia" w:ascii="Times New Roman" w:hAnsi="Times New Roman" w:eastAsia="仿宋_GB2312" w:cs="仿宋"/>
          <w:color w:val="000000" w:themeColor="text1"/>
          <w:sz w:val="32"/>
          <w:szCs w:val="32"/>
          <w14:textFill>
            <w14:solidFill>
              <w14:schemeClr w14:val="tx1"/>
            </w14:solidFill>
          </w14:textFill>
        </w:rPr>
        <w:t>第19号）等国家、省相关规定，制订《</w:t>
      </w:r>
      <w:r>
        <w:rPr>
          <w:rFonts w:hint="eastAsia" w:ascii="仿宋_GB2312" w:hAnsi="Times New Roman" w:eastAsia="仿宋_GB2312"/>
          <w:sz w:val="32"/>
          <w:szCs w:val="32"/>
        </w:rPr>
        <w:t>污染源自动监控站点运行维护考核评分表》（该评分表内的具体考核指标根据国家、省的相关规定的变化逐年进行修改）</w:t>
      </w:r>
      <w:r>
        <w:rPr>
          <w:rFonts w:hint="eastAsia" w:ascii="Times New Roman" w:hAnsi="Times New Roman" w:eastAsia="仿宋_GB2312" w:cs="仿宋"/>
          <w:color w:val="000000" w:themeColor="text1"/>
          <w:sz w:val="32"/>
          <w:szCs w:val="32"/>
          <w14:textFill>
            <w14:solidFill>
              <w14:schemeClr w14:val="tx1"/>
            </w14:solidFill>
          </w14:textFill>
        </w:rPr>
        <w:t>。考核年度为一个自然年，即当年1月1日至当年12月31日止。</w:t>
      </w:r>
    </w:p>
    <w:p>
      <w:pPr>
        <w:numPr>
          <w:ilvl w:val="0"/>
          <w:numId w:val="1"/>
        </w:numPr>
        <w:spacing w:line="60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考核流程</w:t>
      </w:r>
    </w:p>
    <w:p>
      <w:pPr>
        <w:widowControl w:val="0"/>
        <w:spacing w:after="0" w:line="540" w:lineRule="exact"/>
        <w:ind w:firstLine="640" w:firstLineChars="200"/>
        <w:jc w:val="both"/>
        <w:rPr>
          <w:rFonts w:ascii="Times New Roman" w:hAnsi="Times New Roman" w:eastAsia="仿宋_GB2312" w:cs="仿宋"/>
          <w:color w:val="000000" w:themeColor="text1"/>
          <w:sz w:val="32"/>
          <w:szCs w:val="32"/>
          <w14:textFill>
            <w14:solidFill>
              <w14:schemeClr w14:val="tx1"/>
            </w14:solidFill>
          </w14:textFill>
        </w:rPr>
      </w:pPr>
      <w:r>
        <w:rPr>
          <w:rFonts w:hint="eastAsia" w:ascii="Times New Roman" w:hAnsi="Times New Roman" w:eastAsia="仿宋_GB2312" w:cs="仿宋"/>
          <w:color w:val="000000" w:themeColor="text1"/>
          <w:sz w:val="32"/>
          <w:szCs w:val="32"/>
          <w14:textFill>
            <w14:solidFill>
              <w14:schemeClr w14:val="tx1"/>
            </w14:solidFill>
          </w14:textFill>
        </w:rPr>
        <w:t>由属地环保部门负责日常监管考核，考核须覆盖各自辖区内所有重点排污单位监控站点，年底根据《</w:t>
      </w:r>
      <w:r>
        <w:rPr>
          <w:rFonts w:hint="eastAsia" w:ascii="仿宋_GB2312" w:hAnsi="Times New Roman" w:eastAsia="仿宋_GB2312"/>
          <w:sz w:val="32"/>
          <w:szCs w:val="32"/>
        </w:rPr>
        <w:t>污染源自动监控站点运行维护考核评分表》打分，</w:t>
      </w:r>
      <w:r>
        <w:rPr>
          <w:rFonts w:hint="eastAsia" w:ascii="Times New Roman" w:hAnsi="Times New Roman" w:eastAsia="仿宋_GB2312" w:cs="仿宋"/>
          <w:color w:val="000000" w:themeColor="text1"/>
          <w:sz w:val="32"/>
          <w:szCs w:val="32"/>
          <w14:textFill>
            <w14:solidFill>
              <w14:schemeClr w14:val="tx1"/>
            </w14:solidFill>
          </w14:textFill>
        </w:rPr>
        <w:t>并上报市生态环境局。市生态环境局组织市生态环境保护综合行政执法队进行审议，然后征求相关单位意见后确定最终得分。</w:t>
      </w:r>
    </w:p>
    <w:p>
      <w:pPr>
        <w:spacing w:line="580" w:lineRule="exact"/>
        <w:ind w:firstLine="601"/>
        <w:rPr>
          <w:rFonts w:ascii="仿宋_GB2312" w:hAnsi="Times New Roman" w:eastAsia="仿宋_GB2312"/>
          <w:sz w:val="32"/>
          <w:szCs w:val="32"/>
        </w:rPr>
      </w:pPr>
      <w:r>
        <w:rPr>
          <w:rFonts w:hint="eastAsia" w:ascii="Times New Roman" w:hAnsi="Times New Roman" w:eastAsia="仿宋_GB2312" w:cs="仿宋"/>
          <w:color w:val="000000" w:themeColor="text1"/>
          <w:sz w:val="32"/>
          <w:szCs w:val="32"/>
          <w14:textFill>
            <w14:solidFill>
              <w14:schemeClr w14:val="tx1"/>
            </w14:solidFill>
          </w14:textFill>
        </w:rPr>
        <w:t>年度考核得分80分（含）以上为合格，80分以下为不合格。并于丽水市生态环境局门户网站公布年度考核结果。</w:t>
      </w:r>
    </w:p>
    <w:p>
      <w:pPr>
        <w:spacing w:line="580" w:lineRule="exact"/>
        <w:ind w:firstLine="643" w:firstLineChars="200"/>
        <w:rPr>
          <w:rFonts w:hint="eastAsia" w:ascii="Times New Roman" w:hAnsi="Times New Roman" w:eastAsia="仿宋_GB2312" w:cs="仿宋"/>
          <w:b/>
          <w:sz w:val="32"/>
          <w:szCs w:val="32"/>
        </w:rPr>
      </w:pPr>
      <w:r>
        <w:rPr>
          <w:rFonts w:hint="eastAsia" w:ascii="Times New Roman" w:hAnsi="Times New Roman" w:eastAsia="仿宋_GB2312" w:cs="仿宋"/>
          <w:b/>
          <w:sz w:val="32"/>
          <w:szCs w:val="32"/>
        </w:rPr>
        <w:t>三、考核补助</w:t>
      </w:r>
    </w:p>
    <w:p>
      <w:pPr>
        <w:spacing w:line="580" w:lineRule="exact"/>
        <w:ind w:firstLine="640" w:firstLineChars="200"/>
        <w:rPr>
          <w:rFonts w:hint="eastAsia" w:ascii="Times New Roman" w:hAnsi="Times New Roman" w:eastAsia="仿宋_GB2312" w:cs="仿宋"/>
          <w:sz w:val="32"/>
          <w:szCs w:val="32"/>
        </w:rPr>
      </w:pPr>
      <w:r>
        <w:rPr>
          <w:rFonts w:hint="eastAsia" w:ascii="Times New Roman" w:hAnsi="Times New Roman" w:eastAsia="仿宋_GB2312" w:cs="仿宋"/>
          <w:sz w:val="32"/>
          <w:szCs w:val="32"/>
        </w:rPr>
        <w:t>根据考核结果，对考核合格以上的企业给予运行维护经费补助。</w:t>
      </w:r>
    </w:p>
    <w:p>
      <w:pPr>
        <w:spacing w:line="580" w:lineRule="exact"/>
        <w:ind w:firstLine="640" w:firstLineChars="200"/>
        <w:rPr>
          <w:rFonts w:hint="eastAsia" w:ascii="Times New Roman" w:hAnsi="Times New Roman" w:eastAsia="仿宋_GB2312" w:cs="仿宋"/>
          <w:sz w:val="32"/>
          <w:szCs w:val="32"/>
        </w:rPr>
      </w:pPr>
      <w:r>
        <w:rPr>
          <w:rFonts w:hint="eastAsia" w:ascii="Times New Roman" w:hAnsi="Times New Roman" w:eastAsia="仿宋_GB2312" w:cs="仿宋"/>
          <w:sz w:val="32"/>
          <w:szCs w:val="32"/>
        </w:rPr>
        <w:t>（一）补助标准</w:t>
      </w:r>
    </w:p>
    <w:p>
      <w:pPr>
        <w:spacing w:line="580" w:lineRule="exact"/>
        <w:ind w:firstLine="640" w:firstLineChars="200"/>
        <w:rPr>
          <w:rFonts w:hint="eastAsia" w:ascii="Times New Roman" w:hAnsi="Times New Roman" w:eastAsia="仿宋_GB2312" w:cs="仿宋"/>
          <w:sz w:val="32"/>
          <w:szCs w:val="32"/>
        </w:rPr>
      </w:pPr>
      <w:r>
        <w:rPr>
          <w:rFonts w:hint="eastAsia" w:ascii="Times New Roman" w:hAnsi="Times New Roman" w:eastAsia="仿宋_GB2312" w:cs="仿宋"/>
          <w:sz w:val="32"/>
          <w:szCs w:val="32"/>
        </w:rPr>
        <w:t>参照省环保厅《下达2009年重点污染源</w:t>
      </w:r>
      <w:r>
        <w:rPr>
          <w:rFonts w:hint="eastAsia" w:ascii="Times New Roman" w:hAnsi="Times New Roman" w:eastAsia="仿宋_GB2312" w:cs="仿宋"/>
          <w:sz w:val="32"/>
          <w:szCs w:val="32"/>
          <w:lang w:val="en-US" w:eastAsia="zh-CN"/>
        </w:rPr>
        <w:t>自动</w:t>
      </w:r>
      <w:r>
        <w:rPr>
          <w:rFonts w:hint="eastAsia" w:ascii="Times New Roman" w:hAnsi="Times New Roman" w:eastAsia="仿宋_GB2312" w:cs="仿宋"/>
          <w:sz w:val="32"/>
          <w:szCs w:val="32"/>
        </w:rPr>
        <w:t>监控运维补助的补充通知》（浙环发〔2009〕51号）文件，结合我市实际企业端运行维护费用</w:t>
      </w:r>
      <w:r>
        <w:rPr>
          <w:rFonts w:hint="eastAsia" w:ascii="Times New Roman" w:hAnsi="Times New Roman" w:eastAsia="仿宋_GB2312" w:cs="仿宋"/>
          <w:sz w:val="32"/>
          <w:szCs w:val="32"/>
          <w:lang w:val="en-US" w:eastAsia="zh-CN"/>
        </w:rPr>
        <w:t>按比例发放</w:t>
      </w:r>
      <w:r>
        <w:rPr>
          <w:rFonts w:hint="eastAsia" w:ascii="Times New Roman" w:hAnsi="Times New Roman" w:eastAsia="仿宋_GB2312" w:cs="仿宋"/>
          <w:sz w:val="32"/>
          <w:szCs w:val="32"/>
        </w:rPr>
        <w:t>；实际运维费用未达到补助标准的按实际运维费用补助。</w:t>
      </w:r>
    </w:p>
    <w:p>
      <w:pPr>
        <w:spacing w:line="580" w:lineRule="exact"/>
        <w:ind w:firstLine="640" w:firstLineChars="200"/>
        <w:rPr>
          <w:rFonts w:hint="default" w:ascii="Times New Roman" w:hAnsi="Times New Roman" w:eastAsia="仿宋_GB2312" w:cs="仿宋"/>
          <w:color w:val="FF0000"/>
          <w:sz w:val="32"/>
          <w:szCs w:val="32"/>
          <w:lang w:val="en-US" w:eastAsia="zh-CN"/>
        </w:rPr>
      </w:pPr>
      <w:r>
        <w:rPr>
          <w:rFonts w:hint="eastAsia" w:ascii="Times New Roman" w:hAnsi="Times New Roman" w:eastAsia="仿宋_GB2312" w:cs="仿宋"/>
          <w:sz w:val="32"/>
          <w:szCs w:val="32"/>
          <w:lang w:val="en-US" w:eastAsia="zh-CN"/>
        </w:rPr>
        <w:t>由生态环境部门每年根据上级相关文件确定具体补助金额。</w:t>
      </w:r>
      <w:bookmarkStart w:id="0" w:name="_GoBack"/>
      <w:bookmarkEnd w:id="0"/>
    </w:p>
    <w:p>
      <w:pPr>
        <w:spacing w:line="60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四、本办法自发布之日起实施，各县（市、区）可参照执行。</w:t>
      </w:r>
    </w:p>
    <w:p>
      <w:pPr>
        <w:spacing w:line="600" w:lineRule="exact"/>
        <w:ind w:firstLine="643" w:firstLineChars="200"/>
        <w:rPr>
          <w:rFonts w:ascii="仿宋_GB2312" w:hAnsi="Times New Roman" w:eastAsia="仿宋_GB2312"/>
          <w:b/>
          <w:sz w:val="32"/>
          <w:szCs w:val="32"/>
        </w:rPr>
      </w:pPr>
      <w:r>
        <w:rPr>
          <w:rFonts w:hint="eastAsia" w:ascii="仿宋_GB2312" w:hAnsi="Times New Roman" w:eastAsia="仿宋_GB2312"/>
          <w:b/>
          <w:sz w:val="32"/>
          <w:szCs w:val="32"/>
        </w:rPr>
        <w:t>五、本办法执行期间国家、省有新规定的，按照新规定执行。</w:t>
      </w:r>
    </w:p>
    <w:p>
      <w:pPr>
        <w:spacing w:line="600" w:lineRule="exact"/>
        <w:ind w:firstLine="643" w:firstLineChars="200"/>
        <w:rPr>
          <w:rFonts w:ascii="仿宋_GB2312" w:hAnsi="Times New Roman" w:eastAsia="仿宋_GB2312"/>
          <w:b/>
          <w:sz w:val="32"/>
          <w:szCs w:val="32"/>
        </w:rPr>
      </w:pPr>
    </w:p>
    <w:p>
      <w:pPr>
        <w:spacing w:line="600" w:lineRule="exact"/>
        <w:ind w:firstLine="627" w:firstLineChars="196"/>
        <w:rPr>
          <w:rFonts w:ascii="仿宋_GB2312" w:hAnsi="Times New Roman" w:eastAsia="仿宋_GB2312"/>
          <w:sz w:val="32"/>
          <w:szCs w:val="32"/>
        </w:rPr>
      </w:pPr>
      <w:r>
        <w:rPr>
          <w:rFonts w:hint="eastAsia" w:ascii="仿宋_GB2312" w:hAnsi="Times New Roman" w:eastAsia="仿宋_GB2312"/>
          <w:sz w:val="32"/>
          <w:szCs w:val="32"/>
        </w:rPr>
        <w:t>附件：污染源自动监控站点运行维护考核评分表</w:t>
      </w:r>
    </w:p>
    <w:p>
      <w:pPr>
        <w:spacing w:line="600" w:lineRule="exact"/>
        <w:ind w:firstLine="640" w:firstLineChars="200"/>
        <w:rPr>
          <w:rFonts w:ascii="仿宋_GB2312" w:hAnsi="Times New Roman" w:eastAsia="仿宋_GB2312"/>
          <w:sz w:val="32"/>
          <w:szCs w:val="32"/>
        </w:rPr>
      </w:pPr>
    </w:p>
    <w:p>
      <w:pPr>
        <w:spacing w:line="600" w:lineRule="exact"/>
        <w:rPr>
          <w:rFonts w:ascii="仿宋_GB2312" w:hAnsi="Times New Roman" w:eastAsia="仿宋_GB2312"/>
          <w:sz w:val="32"/>
          <w:szCs w:val="32"/>
        </w:rPr>
      </w:pPr>
    </w:p>
    <w:p>
      <w:pPr>
        <w:spacing w:line="600" w:lineRule="exact"/>
        <w:jc w:val="right"/>
        <w:rPr>
          <w:rFonts w:ascii="Times New Roman" w:hAnsi="Times New Roman" w:eastAsia="仿宋_GB2312"/>
          <w:sz w:val="32"/>
          <w:szCs w:val="32"/>
        </w:rPr>
      </w:pPr>
      <w:r>
        <w:rPr>
          <w:rFonts w:hint="eastAsia" w:ascii="Times New Roman" w:hAnsi="Times New Roman" w:eastAsia="仿宋_GB2312"/>
          <w:sz w:val="32"/>
          <w:szCs w:val="32"/>
        </w:rPr>
        <w:t>丽水市生态环境局</w:t>
      </w:r>
    </w:p>
    <w:p>
      <w:pPr>
        <w:spacing w:line="600" w:lineRule="exact"/>
        <w:ind w:firstLine="640" w:firstLineChars="200"/>
        <w:jc w:val="right"/>
        <w:rPr>
          <w:rFonts w:ascii="仿宋_GB2312" w:hAnsi="Times New Roman" w:eastAsia="仿宋_GB2312"/>
          <w:sz w:val="32"/>
          <w:szCs w:val="32"/>
        </w:rPr>
      </w:pPr>
      <w:r>
        <w:rPr>
          <w:rFonts w:hint="eastAsia" w:ascii="仿宋_GB2312" w:hAnsi="Times New Roman" w:eastAsia="仿宋_GB2312"/>
          <w:sz w:val="32"/>
          <w:szCs w:val="32"/>
        </w:rPr>
        <w:t xml:space="preserve"> 2020年6月16日</w:t>
      </w:r>
    </w:p>
    <w:p>
      <w:pPr>
        <w:rPr>
          <w:rFonts w:ascii="Times New Roman" w:hAnsi="Times New Roman" w:eastAsia="仿宋_GB2312"/>
          <w:sz w:val="32"/>
          <w:szCs w:val="32"/>
        </w:rPr>
      </w:pPr>
    </w:p>
    <w:p>
      <w:pPr>
        <w:rPr>
          <w:rFonts w:ascii="Times New Roman" w:hAnsi="Times New Roman" w:eastAsia="仿宋_GB2312"/>
          <w:sz w:val="32"/>
          <w:szCs w:val="32"/>
        </w:rPr>
      </w:pPr>
    </w:p>
    <w:p/>
    <w:p>
      <w:pPr>
        <w:tabs>
          <w:tab w:val="left" w:pos="825"/>
        </w:tabs>
        <w:sectPr>
          <w:pgSz w:w="11902" w:h="16834"/>
          <w:pgMar w:top="2173" w:right="1469" w:bottom="1447" w:left="1534" w:header="720" w:footer="720" w:gutter="0"/>
          <w:cols w:space="720" w:num="1"/>
        </w:sectPr>
      </w:pPr>
    </w:p>
    <w:p>
      <w:pPr>
        <w:spacing w:line="600" w:lineRule="exact"/>
        <w:ind w:right="-161" w:rightChars="-73" w:firstLine="320" w:firstLineChars="100"/>
        <w:rPr>
          <w:rFonts w:ascii="Times New Roman" w:hAnsi="Times New Roman" w:eastAsia="仿宋_GB2312"/>
          <w:sz w:val="32"/>
          <w:szCs w:val="32"/>
        </w:rPr>
      </w:pPr>
      <w:r>
        <w:rPr>
          <w:rFonts w:hint="eastAsia" w:ascii="Times New Roman" w:hAnsi="Times New Roman" w:eastAsia="仿宋_GB2312"/>
          <w:sz w:val="32"/>
          <w:szCs w:val="32"/>
        </w:rPr>
        <w:t>附件：</w:t>
      </w:r>
    </w:p>
    <w:p>
      <w:pPr>
        <w:spacing w:after="0" w:line="256" w:lineRule="auto"/>
        <w:jc w:val="center"/>
        <w:rPr>
          <w:rFonts w:ascii="微软雅黑" w:hAnsi="微软雅黑" w:eastAsia="微软雅黑" w:cs="微软雅黑"/>
          <w:sz w:val="32"/>
        </w:rPr>
      </w:pPr>
      <w:r>
        <w:rPr>
          <w:rFonts w:hint="eastAsia" w:ascii="微软雅黑" w:hAnsi="微软雅黑" w:eastAsia="微软雅黑" w:cs="微软雅黑"/>
          <w:sz w:val="32"/>
        </w:rPr>
        <w:t>污染源自动监控站点运行维护考核评分表（总分100分）</w:t>
      </w:r>
    </w:p>
    <w:tbl>
      <w:tblPr>
        <w:tblStyle w:val="9"/>
        <w:tblW w:w="14186" w:type="dxa"/>
        <w:tblInd w:w="-89" w:type="dxa"/>
        <w:tblLayout w:type="autofit"/>
        <w:tblCellMar>
          <w:top w:w="43" w:type="dxa"/>
          <w:left w:w="105" w:type="dxa"/>
          <w:bottom w:w="0" w:type="dxa"/>
          <w:right w:w="105" w:type="dxa"/>
        </w:tblCellMar>
      </w:tblPr>
      <w:tblGrid>
        <w:gridCol w:w="594"/>
        <w:gridCol w:w="516"/>
        <w:gridCol w:w="855"/>
        <w:gridCol w:w="6986"/>
        <w:gridCol w:w="622"/>
        <w:gridCol w:w="4613"/>
      </w:tblGrid>
      <w:tr>
        <w:trPr>
          <w:trHeight w:val="616" w:hRule="atLeast"/>
        </w:trPr>
        <w:tc>
          <w:tcPr>
            <w:tcW w:w="594" w:type="dxa"/>
            <w:tcBorders>
              <w:top w:val="single" w:color="000000" w:sz="2" w:space="0"/>
              <w:left w:val="single" w:color="000000" w:sz="2" w:space="0"/>
              <w:bottom w:val="single" w:color="000000" w:sz="2" w:space="0"/>
              <w:right w:val="single" w:color="000000" w:sz="2" w:space="0"/>
            </w:tcBorders>
            <w:noWrap/>
          </w:tcPr>
          <w:p>
            <w:pPr>
              <w:widowControl w:val="0"/>
              <w:spacing w:after="0" w:line="560" w:lineRule="exact"/>
              <w:jc w:val="center"/>
              <w:rPr>
                <w:rFonts w:ascii="宋体" w:hAnsi="宋体" w:eastAsia="仿宋_GB2312" w:cs="Times New Roman"/>
                <w:sz w:val="24"/>
                <w:szCs w:val="24"/>
              </w:rPr>
            </w:pPr>
            <w:r>
              <w:rPr>
                <w:rFonts w:hint="eastAsia" w:ascii="宋体" w:hAnsi="宋体" w:eastAsia="仿宋_GB2312" w:cs="Times New Roman"/>
                <w:sz w:val="24"/>
                <w:szCs w:val="24"/>
              </w:rPr>
              <w:t>序号</w:t>
            </w:r>
          </w:p>
        </w:tc>
        <w:tc>
          <w:tcPr>
            <w:tcW w:w="516" w:type="dxa"/>
            <w:tcBorders>
              <w:top w:val="single" w:color="000000" w:sz="2" w:space="0"/>
              <w:left w:val="single" w:color="000000" w:sz="2" w:space="0"/>
              <w:bottom w:val="single" w:color="000000" w:sz="2" w:space="0"/>
              <w:right w:val="single" w:color="000000" w:sz="2" w:space="0"/>
            </w:tcBorders>
            <w:noWrap/>
          </w:tcPr>
          <w:p>
            <w:pPr>
              <w:widowControl w:val="0"/>
              <w:spacing w:after="0" w:line="560" w:lineRule="exact"/>
              <w:jc w:val="center"/>
              <w:rPr>
                <w:rFonts w:ascii="宋体" w:hAnsi="宋体" w:eastAsia="仿宋_GB2312" w:cs="Times New Roman"/>
                <w:sz w:val="24"/>
                <w:szCs w:val="24"/>
              </w:rPr>
            </w:pPr>
            <w:r>
              <w:rPr>
                <w:rFonts w:hint="eastAsia" w:ascii="宋体" w:hAnsi="宋体" w:eastAsia="仿宋_GB2312" w:cs="Times New Roman"/>
                <w:sz w:val="24"/>
                <w:szCs w:val="24"/>
              </w:rPr>
              <w:t>类别</w:t>
            </w:r>
          </w:p>
        </w:tc>
        <w:tc>
          <w:tcPr>
            <w:tcW w:w="7841" w:type="dxa"/>
            <w:gridSpan w:val="2"/>
            <w:tcBorders>
              <w:top w:val="single" w:color="000000" w:sz="2" w:space="0"/>
              <w:left w:val="single" w:color="000000" w:sz="2" w:space="0"/>
              <w:bottom w:val="single" w:color="000000" w:sz="2" w:space="0"/>
              <w:right w:val="single" w:color="000000" w:sz="2" w:space="0"/>
            </w:tcBorders>
            <w:noWrap/>
            <w:vAlign w:val="center"/>
          </w:tcPr>
          <w:p>
            <w:pPr>
              <w:widowControl w:val="0"/>
              <w:spacing w:after="0" w:line="560" w:lineRule="exact"/>
              <w:jc w:val="center"/>
              <w:rPr>
                <w:rFonts w:ascii="宋体" w:hAnsi="宋体" w:eastAsia="仿宋_GB2312" w:cs="Times New Roman"/>
                <w:sz w:val="24"/>
                <w:szCs w:val="24"/>
              </w:rPr>
            </w:pPr>
            <w:r>
              <w:rPr>
                <w:rFonts w:hint="eastAsia" w:ascii="宋体" w:hAnsi="宋体" w:eastAsia="仿宋_GB2312" w:cs="Times New Roman"/>
                <w:sz w:val="24"/>
                <w:szCs w:val="24"/>
              </w:rPr>
              <w:t>考核内容</w:t>
            </w:r>
          </w:p>
        </w:tc>
        <w:tc>
          <w:tcPr>
            <w:tcW w:w="622" w:type="dxa"/>
            <w:tcBorders>
              <w:top w:val="single" w:color="000000" w:sz="2" w:space="0"/>
              <w:left w:val="single" w:color="000000" w:sz="2" w:space="0"/>
              <w:bottom w:val="single" w:color="000000" w:sz="2" w:space="0"/>
              <w:right w:val="single" w:color="000000" w:sz="2" w:space="0"/>
            </w:tcBorders>
            <w:noWrap/>
            <w:vAlign w:val="center"/>
          </w:tcPr>
          <w:p>
            <w:pPr>
              <w:widowControl w:val="0"/>
              <w:spacing w:after="0" w:line="560" w:lineRule="exact"/>
              <w:jc w:val="center"/>
              <w:rPr>
                <w:rFonts w:ascii="宋体" w:hAnsi="宋体" w:eastAsia="仿宋_GB2312" w:cs="Times New Roman"/>
                <w:sz w:val="24"/>
                <w:szCs w:val="24"/>
              </w:rPr>
            </w:pPr>
            <w:r>
              <w:rPr>
                <w:rFonts w:hint="eastAsia" w:ascii="宋体" w:hAnsi="宋体" w:eastAsia="仿宋_GB2312" w:cs="Times New Roman"/>
                <w:sz w:val="24"/>
                <w:szCs w:val="24"/>
              </w:rPr>
              <w:t>分值</w:t>
            </w:r>
          </w:p>
        </w:tc>
        <w:tc>
          <w:tcPr>
            <w:tcW w:w="4613" w:type="dxa"/>
            <w:tcBorders>
              <w:top w:val="single" w:color="000000" w:sz="2" w:space="0"/>
              <w:left w:val="single" w:color="000000" w:sz="2" w:space="0"/>
              <w:bottom w:val="single" w:color="000000" w:sz="2" w:space="0"/>
              <w:right w:val="single" w:color="000000" w:sz="2" w:space="0"/>
            </w:tcBorders>
            <w:noWrap/>
            <w:vAlign w:val="center"/>
          </w:tcPr>
          <w:p>
            <w:pPr>
              <w:widowControl w:val="0"/>
              <w:spacing w:after="0" w:line="560" w:lineRule="exact"/>
              <w:jc w:val="center"/>
              <w:rPr>
                <w:rFonts w:ascii="宋体" w:hAnsi="宋体" w:eastAsia="仿宋_GB2312" w:cs="Times New Roman"/>
                <w:sz w:val="24"/>
                <w:szCs w:val="24"/>
              </w:rPr>
            </w:pPr>
            <w:r>
              <w:rPr>
                <w:rFonts w:hint="eastAsia" w:ascii="宋体" w:hAnsi="宋体" w:eastAsia="仿宋_GB2312" w:cs="Times New Roman"/>
                <w:sz w:val="24"/>
                <w:szCs w:val="24"/>
              </w:rPr>
              <w:t>评分标准</w:t>
            </w:r>
          </w:p>
        </w:tc>
      </w:tr>
      <w:tr>
        <w:tblPrEx>
          <w:tblCellMar>
            <w:top w:w="43" w:type="dxa"/>
            <w:left w:w="105" w:type="dxa"/>
            <w:bottom w:w="0" w:type="dxa"/>
            <w:right w:w="105" w:type="dxa"/>
          </w:tblCellMar>
        </w:tblPrEx>
        <w:trPr>
          <w:trHeight w:val="2287" w:hRule="atLeast"/>
        </w:trPr>
        <w:tc>
          <w:tcPr>
            <w:tcW w:w="594" w:type="dxa"/>
            <w:vMerge w:val="restart"/>
            <w:tcBorders>
              <w:top w:val="single" w:color="000000" w:sz="2" w:space="0"/>
              <w:left w:val="single" w:color="000000" w:sz="2" w:space="0"/>
              <w:bottom w:val="single" w:color="000000" w:sz="2" w:space="0"/>
              <w:right w:val="single" w:color="000000" w:sz="2" w:space="0"/>
            </w:tcBorders>
            <w:noWrap/>
            <w:vAlign w:val="center"/>
          </w:tcPr>
          <w:p>
            <w:pPr>
              <w:spacing w:after="0" w:line="256" w:lineRule="auto"/>
              <w:ind w:right="3"/>
              <w:jc w:val="center"/>
            </w:pPr>
            <w:r>
              <w:rPr>
                <w:rFonts w:hint="eastAsia" w:ascii="微软雅黑" w:hAnsi="微软雅黑" w:eastAsia="微软雅黑" w:cs="微软雅黑"/>
                <w:sz w:val="24"/>
              </w:rPr>
              <w:t>1</w:t>
            </w:r>
          </w:p>
        </w:tc>
        <w:tc>
          <w:tcPr>
            <w:tcW w:w="516" w:type="dxa"/>
            <w:vMerge w:val="restart"/>
            <w:tcBorders>
              <w:top w:val="single" w:color="000000" w:sz="2" w:space="0"/>
              <w:left w:val="single" w:color="000000" w:sz="2" w:space="0"/>
              <w:bottom w:val="single" w:color="000000" w:sz="2" w:space="0"/>
              <w:right w:val="single" w:color="000000" w:sz="2" w:space="0"/>
            </w:tcBorders>
            <w:noWrap/>
            <w:vAlign w:val="center"/>
          </w:tcPr>
          <w:p>
            <w:pPr>
              <w:widowControl w:val="0"/>
              <w:spacing w:after="0" w:line="560" w:lineRule="exact"/>
              <w:jc w:val="center"/>
              <w:rPr>
                <w:rFonts w:ascii="宋体" w:hAnsi="宋体" w:eastAsia="仿宋_GB2312" w:cs="Times New Roman"/>
                <w:sz w:val="24"/>
                <w:szCs w:val="24"/>
              </w:rPr>
            </w:pPr>
            <w:r>
              <w:rPr>
                <w:rFonts w:hint="eastAsia" w:ascii="宋体" w:hAnsi="宋体" w:eastAsia="仿宋_GB2312" w:cs="Times New Roman"/>
                <w:sz w:val="24"/>
                <w:szCs w:val="24"/>
              </w:rPr>
              <w:t>管理考核</w:t>
            </w:r>
          </w:p>
        </w:tc>
        <w:tc>
          <w:tcPr>
            <w:tcW w:w="855" w:type="dxa"/>
            <w:tcBorders>
              <w:top w:val="single" w:color="000000" w:sz="2" w:space="0"/>
              <w:left w:val="single" w:color="000000" w:sz="2" w:space="0"/>
              <w:bottom w:val="single" w:color="000000" w:sz="2" w:space="0"/>
              <w:right w:val="single" w:color="000000" w:sz="2" w:space="0"/>
            </w:tcBorders>
            <w:noWrap/>
            <w:vAlign w:val="center"/>
          </w:tcPr>
          <w:p>
            <w:pPr>
              <w:widowControl w:val="0"/>
              <w:spacing w:after="0" w:line="560" w:lineRule="exact"/>
              <w:jc w:val="center"/>
              <w:rPr>
                <w:rFonts w:ascii="宋体" w:hAnsi="宋体" w:eastAsia="仿宋_GB2312" w:cs="Times New Roman"/>
                <w:sz w:val="24"/>
                <w:szCs w:val="24"/>
              </w:rPr>
            </w:pPr>
            <w:r>
              <w:rPr>
                <w:rFonts w:hint="eastAsia" w:ascii="宋体" w:hAnsi="宋体" w:eastAsia="仿宋_GB2312" w:cs="Times New Roman"/>
                <w:sz w:val="24"/>
                <w:szCs w:val="24"/>
              </w:rPr>
              <w:t>上报材料</w:t>
            </w:r>
          </w:p>
        </w:tc>
        <w:tc>
          <w:tcPr>
            <w:tcW w:w="6986" w:type="dxa"/>
            <w:tcBorders>
              <w:top w:val="single" w:color="000000" w:sz="2" w:space="0"/>
              <w:left w:val="single" w:color="000000" w:sz="2" w:space="0"/>
              <w:bottom w:val="single" w:color="000000" w:sz="2" w:space="0"/>
              <w:right w:val="single" w:color="000000" w:sz="2" w:space="0"/>
            </w:tcBorders>
            <w:noWrap/>
            <w:vAlign w:val="center"/>
          </w:tcPr>
          <w:p>
            <w:pPr>
              <w:widowControl w:val="0"/>
              <w:spacing w:after="0" w:line="560" w:lineRule="exact"/>
              <w:jc w:val="center"/>
              <w:rPr>
                <w:rFonts w:ascii="宋体" w:hAnsi="宋体" w:eastAsia="仿宋_GB2312" w:cs="Times New Roman"/>
                <w:sz w:val="24"/>
                <w:szCs w:val="24"/>
              </w:rPr>
            </w:pPr>
            <w:r>
              <w:rPr>
                <w:rFonts w:hint="eastAsia" w:ascii="宋体" w:hAnsi="宋体" w:eastAsia="仿宋_GB2312" w:cs="Times New Roman"/>
                <w:sz w:val="24"/>
                <w:szCs w:val="24"/>
              </w:rPr>
              <w:t>1.自动监控设备需停运或拆除的，应提前向属地环保部门以书面形式上报，经属地环保部门现场核实，书面批准后方可停运或拆除；</w:t>
            </w:r>
          </w:p>
          <w:p>
            <w:pPr>
              <w:widowControl w:val="0"/>
              <w:spacing w:after="0" w:line="560" w:lineRule="exact"/>
              <w:jc w:val="center"/>
            </w:pPr>
            <w:r>
              <w:rPr>
                <w:rFonts w:hint="eastAsia" w:ascii="宋体" w:hAnsi="宋体" w:eastAsia="仿宋_GB2312" w:cs="Times New Roman"/>
                <w:sz w:val="24"/>
                <w:szCs w:val="24"/>
              </w:rPr>
              <w:t>2.设施非正常运行期间，应当按照有关规定和技术规范，采用手工监测方式，每日定时报送至属地环保部门。</w:t>
            </w:r>
          </w:p>
        </w:tc>
        <w:tc>
          <w:tcPr>
            <w:tcW w:w="622" w:type="dxa"/>
            <w:tcBorders>
              <w:top w:val="single" w:color="000000" w:sz="2" w:space="0"/>
              <w:left w:val="single" w:color="000000" w:sz="2" w:space="0"/>
              <w:bottom w:val="single" w:color="000000" w:sz="2" w:space="0"/>
              <w:right w:val="single" w:color="000000" w:sz="2" w:space="0"/>
            </w:tcBorders>
            <w:noWrap/>
            <w:vAlign w:val="center"/>
          </w:tcPr>
          <w:p>
            <w:pPr>
              <w:widowControl w:val="0"/>
              <w:spacing w:after="0" w:line="560" w:lineRule="exact"/>
              <w:jc w:val="center"/>
              <w:rPr>
                <w:rFonts w:ascii="宋体" w:hAnsi="宋体" w:eastAsia="仿宋_GB2312" w:cs="Times New Roman"/>
                <w:sz w:val="24"/>
                <w:szCs w:val="24"/>
              </w:rPr>
            </w:pPr>
            <w:r>
              <w:rPr>
                <w:rFonts w:hint="eastAsia" w:ascii="宋体" w:hAnsi="宋体" w:eastAsia="仿宋_GB2312" w:cs="Times New Roman"/>
                <w:sz w:val="24"/>
                <w:szCs w:val="24"/>
              </w:rPr>
              <w:t>5</w:t>
            </w:r>
          </w:p>
        </w:tc>
        <w:tc>
          <w:tcPr>
            <w:tcW w:w="4613" w:type="dxa"/>
            <w:tcBorders>
              <w:top w:val="single" w:color="000000" w:sz="2" w:space="0"/>
              <w:left w:val="single" w:color="000000" w:sz="2" w:space="0"/>
              <w:bottom w:val="single" w:color="000000" w:sz="2" w:space="0"/>
              <w:right w:val="single" w:color="000000" w:sz="2" w:space="0"/>
            </w:tcBorders>
            <w:noWrap/>
            <w:vAlign w:val="center"/>
          </w:tcPr>
          <w:p>
            <w:pPr>
              <w:widowControl w:val="0"/>
              <w:spacing w:after="0" w:line="560" w:lineRule="exact"/>
              <w:jc w:val="center"/>
              <w:rPr>
                <w:rFonts w:ascii="宋体" w:hAnsi="宋体" w:eastAsia="仿宋_GB2312" w:cs="Times New Roman"/>
                <w:sz w:val="24"/>
                <w:szCs w:val="24"/>
              </w:rPr>
            </w:pPr>
            <w:r>
              <w:rPr>
                <w:rFonts w:hint="eastAsia" w:ascii="宋体" w:hAnsi="宋体" w:eastAsia="仿宋_GB2312" w:cs="Times New Roman"/>
                <w:sz w:val="24"/>
                <w:szCs w:val="24"/>
              </w:rPr>
              <w:t>1.擅自停运或拆除自动监控设备的，年度考核计0分；</w:t>
            </w:r>
          </w:p>
          <w:p>
            <w:pPr>
              <w:widowControl w:val="0"/>
              <w:spacing w:after="0" w:line="560" w:lineRule="exact"/>
              <w:jc w:val="center"/>
              <w:rPr>
                <w:rFonts w:ascii="宋体" w:hAnsi="宋体" w:eastAsia="仿宋_GB2312" w:cs="Times New Roman"/>
                <w:sz w:val="24"/>
                <w:szCs w:val="24"/>
              </w:rPr>
            </w:pPr>
            <w:r>
              <w:rPr>
                <w:rFonts w:hint="eastAsia" w:ascii="宋体" w:hAnsi="宋体" w:eastAsia="仿宋_GB2312" w:cs="Times New Roman"/>
                <w:sz w:val="24"/>
                <w:szCs w:val="24"/>
              </w:rPr>
              <w:t>2.设施非正常运行期间，手工监测数据未按规定上报，扣5分。</w:t>
            </w:r>
          </w:p>
        </w:tc>
      </w:tr>
      <w:tr>
        <w:tblPrEx>
          <w:tblCellMar>
            <w:top w:w="43" w:type="dxa"/>
            <w:left w:w="105" w:type="dxa"/>
            <w:bottom w:w="0" w:type="dxa"/>
            <w:right w:w="105" w:type="dxa"/>
          </w:tblCellMar>
        </w:tblPrEx>
        <w:trPr>
          <w:trHeight w:val="2793" w:hRule="atLeast"/>
        </w:trPr>
        <w:tc>
          <w:tcPr>
            <w:tcW w:w="594" w:type="dxa"/>
            <w:vMerge w:val="continue"/>
            <w:tcBorders>
              <w:top w:val="single" w:color="000000" w:sz="2" w:space="0"/>
              <w:left w:val="single" w:color="000000" w:sz="2" w:space="0"/>
              <w:bottom w:val="single" w:color="000000" w:sz="2" w:space="0"/>
              <w:right w:val="single" w:color="000000" w:sz="2" w:space="0"/>
            </w:tcBorders>
            <w:noWrap/>
            <w:vAlign w:val="center"/>
          </w:tcPr>
          <w:p>
            <w:pPr>
              <w:rPr>
                <w:rFonts w:ascii="等线" w:hAnsi="等线" w:eastAsia="等线" w:cs="等线"/>
                <w:sz w:val="21"/>
              </w:rPr>
            </w:pPr>
          </w:p>
        </w:tc>
        <w:tc>
          <w:tcPr>
            <w:tcW w:w="516" w:type="dxa"/>
            <w:vMerge w:val="continue"/>
            <w:tcBorders>
              <w:top w:val="single" w:color="000000" w:sz="2" w:space="0"/>
              <w:left w:val="single" w:color="000000" w:sz="2" w:space="0"/>
              <w:bottom w:val="single" w:color="000000" w:sz="2" w:space="0"/>
              <w:right w:val="single" w:color="000000" w:sz="2" w:space="0"/>
            </w:tcBorders>
            <w:noWrap/>
            <w:vAlign w:val="center"/>
          </w:tcPr>
          <w:p>
            <w:pPr>
              <w:rPr>
                <w:rFonts w:ascii="宋体" w:hAnsi="宋体" w:eastAsia="仿宋_GB2312" w:cs="Times New Roman"/>
                <w:sz w:val="24"/>
                <w:szCs w:val="24"/>
              </w:rPr>
            </w:pPr>
          </w:p>
        </w:tc>
        <w:tc>
          <w:tcPr>
            <w:tcW w:w="855" w:type="dxa"/>
            <w:tcBorders>
              <w:top w:val="single" w:color="000000" w:sz="2" w:space="0"/>
              <w:left w:val="single" w:color="000000" w:sz="2" w:space="0"/>
              <w:bottom w:val="single" w:color="000000" w:sz="2" w:space="0"/>
              <w:right w:val="single" w:color="000000" w:sz="2" w:space="0"/>
            </w:tcBorders>
            <w:noWrap/>
            <w:vAlign w:val="center"/>
          </w:tcPr>
          <w:p>
            <w:pPr>
              <w:spacing w:after="0" w:line="256" w:lineRule="auto"/>
              <w:ind w:left="38" w:right="27"/>
              <w:jc w:val="center"/>
              <w:rPr>
                <w:rFonts w:ascii="宋体" w:hAnsi="宋体" w:eastAsia="仿宋_GB2312" w:cs="Times New Roman"/>
                <w:sz w:val="24"/>
                <w:szCs w:val="24"/>
              </w:rPr>
            </w:pPr>
            <w:r>
              <w:rPr>
                <w:rFonts w:hint="eastAsia" w:ascii="宋体" w:hAnsi="宋体" w:eastAsia="仿宋_GB2312" w:cs="Times New Roman"/>
                <w:sz w:val="24"/>
                <w:szCs w:val="24"/>
              </w:rPr>
              <w:t>故障修复</w:t>
            </w:r>
          </w:p>
        </w:tc>
        <w:tc>
          <w:tcPr>
            <w:tcW w:w="6986" w:type="dxa"/>
            <w:tcBorders>
              <w:top w:val="single" w:color="000000" w:sz="2" w:space="0"/>
              <w:left w:val="single" w:color="000000" w:sz="2" w:space="0"/>
              <w:bottom w:val="single" w:color="000000" w:sz="2" w:space="0"/>
              <w:right w:val="single" w:color="000000" w:sz="2" w:space="0"/>
            </w:tcBorders>
            <w:noWrap/>
            <w:vAlign w:val="center"/>
          </w:tcPr>
          <w:p>
            <w:pPr>
              <w:widowControl w:val="0"/>
              <w:spacing w:after="0" w:line="560" w:lineRule="exact"/>
              <w:jc w:val="center"/>
              <w:rPr>
                <w:rFonts w:ascii="宋体" w:hAnsi="宋体" w:eastAsia="仿宋_GB2312" w:cs="Times New Roman"/>
                <w:sz w:val="24"/>
                <w:szCs w:val="24"/>
              </w:rPr>
            </w:pPr>
            <w:r>
              <w:rPr>
                <w:rFonts w:hint="eastAsia" w:ascii="宋体" w:hAnsi="宋体" w:eastAsia="仿宋_GB2312" w:cs="Times New Roman"/>
                <w:sz w:val="24"/>
                <w:szCs w:val="24"/>
              </w:rPr>
              <w:t>1.发现或接到通知2小时内响应，12小时内书面上报，48h内修复，72h内未修复的使用备机并书面上报属地环保部门；</w:t>
            </w:r>
          </w:p>
          <w:p>
            <w:pPr>
              <w:widowControl w:val="0"/>
              <w:spacing w:after="0" w:line="560" w:lineRule="exact"/>
              <w:jc w:val="center"/>
            </w:pPr>
            <w:r>
              <w:rPr>
                <w:rFonts w:hint="eastAsia" w:ascii="宋体" w:hAnsi="宋体" w:eastAsia="仿宋_GB2312" w:cs="Times New Roman"/>
                <w:sz w:val="24"/>
                <w:szCs w:val="24"/>
              </w:rPr>
              <w:t>2.COD仪的平均无故障运行时间低于360h（15天）/次，其他（包括TOC) 低于720h（30天）/次；</w:t>
            </w:r>
          </w:p>
        </w:tc>
        <w:tc>
          <w:tcPr>
            <w:tcW w:w="622" w:type="dxa"/>
            <w:tcBorders>
              <w:top w:val="single" w:color="000000" w:sz="2" w:space="0"/>
              <w:left w:val="single" w:color="000000" w:sz="2" w:space="0"/>
              <w:bottom w:val="single" w:color="000000" w:sz="2" w:space="0"/>
              <w:right w:val="single" w:color="000000" w:sz="2" w:space="0"/>
            </w:tcBorders>
            <w:noWrap/>
            <w:vAlign w:val="center"/>
          </w:tcPr>
          <w:p>
            <w:pPr>
              <w:spacing w:line="256" w:lineRule="auto"/>
              <w:jc w:val="center"/>
              <w:rPr>
                <w:rFonts w:eastAsia="宋体"/>
              </w:rPr>
            </w:pPr>
            <w:r>
              <w:rPr>
                <w:rFonts w:hint="eastAsia" w:ascii="宋体" w:hAnsi="宋体" w:eastAsia="仿宋_GB2312" w:cs="Times New Roman"/>
                <w:sz w:val="24"/>
                <w:szCs w:val="24"/>
              </w:rPr>
              <w:t>10</w:t>
            </w:r>
          </w:p>
        </w:tc>
        <w:tc>
          <w:tcPr>
            <w:tcW w:w="4613" w:type="dxa"/>
            <w:tcBorders>
              <w:top w:val="single" w:color="000000" w:sz="2" w:space="0"/>
              <w:left w:val="single" w:color="000000" w:sz="2" w:space="0"/>
              <w:bottom w:val="single" w:color="000000" w:sz="2" w:space="0"/>
              <w:right w:val="single" w:color="000000" w:sz="2" w:space="0"/>
            </w:tcBorders>
            <w:noWrap/>
            <w:vAlign w:val="center"/>
          </w:tcPr>
          <w:p>
            <w:pPr>
              <w:widowControl w:val="0"/>
              <w:spacing w:after="0" w:line="560" w:lineRule="exact"/>
              <w:jc w:val="center"/>
              <w:rPr>
                <w:rFonts w:ascii="宋体" w:hAnsi="宋体" w:eastAsia="仿宋_GB2312" w:cs="Times New Roman"/>
                <w:sz w:val="24"/>
                <w:szCs w:val="24"/>
              </w:rPr>
            </w:pPr>
            <w:r>
              <w:rPr>
                <w:rFonts w:hint="eastAsia" w:ascii="宋体" w:hAnsi="宋体" w:eastAsia="仿宋_GB2312" w:cs="Times New Roman"/>
                <w:sz w:val="24"/>
                <w:szCs w:val="24"/>
              </w:rPr>
              <w:t>1.发现或接到通知故障2小时后无响应，扣2分/ 次，扣完为止；12小时内未书面上报，此项0分； 48h内未修复，扣5分，72h内未修复未使用备机并上报的，扣10分；</w:t>
            </w:r>
          </w:p>
          <w:p>
            <w:pPr>
              <w:spacing w:after="0" w:line="256" w:lineRule="auto"/>
              <w:ind w:left="931"/>
            </w:pPr>
            <w:r>
              <w:drawing>
                <wp:inline distT="0" distB="0" distL="114300" distR="114300">
                  <wp:extent cx="9525" cy="9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9525" cy="9525"/>
                          </a:xfrm>
                          <a:prstGeom prst="rect">
                            <a:avLst/>
                          </a:prstGeom>
                          <a:noFill/>
                          <a:ln>
                            <a:noFill/>
                          </a:ln>
                        </pic:spPr>
                      </pic:pic>
                    </a:graphicData>
                  </a:graphic>
                </wp:inline>
              </w:drawing>
            </w:r>
          </w:p>
        </w:tc>
      </w:tr>
      <w:tr>
        <w:tblPrEx>
          <w:tblCellMar>
            <w:top w:w="43" w:type="dxa"/>
            <w:left w:w="105" w:type="dxa"/>
            <w:bottom w:w="0" w:type="dxa"/>
            <w:right w:w="105" w:type="dxa"/>
          </w:tblCellMar>
        </w:tblPrEx>
        <w:trPr>
          <w:trHeight w:val="2793" w:hRule="atLeast"/>
        </w:trPr>
        <w:tc>
          <w:tcPr>
            <w:tcW w:w="594" w:type="dxa"/>
            <w:tcBorders>
              <w:top w:val="single" w:color="000000" w:sz="2" w:space="0"/>
              <w:left w:val="single" w:color="000000" w:sz="2" w:space="0"/>
              <w:bottom w:val="single" w:color="000000" w:sz="2" w:space="0"/>
              <w:right w:val="single" w:color="000000" w:sz="2" w:space="0"/>
            </w:tcBorders>
            <w:noWrap/>
            <w:vAlign w:val="center"/>
          </w:tcPr>
          <w:p>
            <w:pPr>
              <w:rPr>
                <w:rFonts w:ascii="等线" w:hAnsi="等线" w:eastAsia="等线" w:cs="等线"/>
                <w:sz w:val="21"/>
              </w:rPr>
            </w:pPr>
          </w:p>
        </w:tc>
        <w:tc>
          <w:tcPr>
            <w:tcW w:w="516" w:type="dxa"/>
            <w:tcBorders>
              <w:top w:val="single" w:color="000000" w:sz="2" w:space="0"/>
              <w:left w:val="single" w:color="000000" w:sz="2" w:space="0"/>
              <w:bottom w:val="single" w:color="000000" w:sz="2" w:space="0"/>
              <w:right w:val="single" w:color="000000" w:sz="2" w:space="0"/>
            </w:tcBorders>
            <w:noWrap/>
            <w:vAlign w:val="center"/>
          </w:tcPr>
          <w:p>
            <w:pPr>
              <w:rPr>
                <w:rFonts w:ascii="宋体" w:hAnsi="宋体" w:eastAsia="仿宋_GB2312" w:cs="Times New Roman"/>
                <w:sz w:val="24"/>
                <w:szCs w:val="24"/>
              </w:rPr>
            </w:pPr>
          </w:p>
        </w:tc>
        <w:tc>
          <w:tcPr>
            <w:tcW w:w="855" w:type="dxa"/>
            <w:tcBorders>
              <w:top w:val="single" w:color="000000" w:sz="2" w:space="0"/>
              <w:left w:val="single" w:color="000000" w:sz="2" w:space="0"/>
              <w:bottom w:val="single" w:color="000000" w:sz="2" w:space="0"/>
              <w:right w:val="single" w:color="000000" w:sz="2" w:space="0"/>
            </w:tcBorders>
            <w:noWrap/>
            <w:vAlign w:val="center"/>
          </w:tcPr>
          <w:p>
            <w:pPr>
              <w:spacing w:after="0" w:line="256" w:lineRule="auto"/>
              <w:ind w:left="38" w:right="27"/>
              <w:jc w:val="center"/>
              <w:rPr>
                <w:rFonts w:ascii="宋体" w:hAnsi="宋体" w:eastAsia="仿宋_GB2312" w:cs="Times New Roman"/>
                <w:sz w:val="24"/>
                <w:szCs w:val="24"/>
              </w:rPr>
            </w:pPr>
            <w:r>
              <w:rPr>
                <w:rFonts w:hint="eastAsia" w:ascii="宋体" w:hAnsi="宋体" w:eastAsia="仿宋_GB2312" w:cs="Times New Roman"/>
                <w:sz w:val="24"/>
                <w:szCs w:val="24"/>
              </w:rPr>
              <w:t>档案管理</w:t>
            </w:r>
          </w:p>
        </w:tc>
        <w:tc>
          <w:tcPr>
            <w:tcW w:w="6986" w:type="dxa"/>
            <w:tcBorders>
              <w:top w:val="single" w:color="000000" w:sz="2" w:space="0"/>
              <w:left w:val="single" w:color="000000" w:sz="2" w:space="0"/>
              <w:bottom w:val="single" w:color="000000" w:sz="2" w:space="0"/>
              <w:right w:val="single" w:color="000000" w:sz="2" w:space="0"/>
            </w:tcBorders>
            <w:noWrap/>
            <w:vAlign w:val="center"/>
          </w:tcPr>
          <w:p>
            <w:pPr>
              <w:widowControl w:val="0"/>
              <w:spacing w:after="0" w:line="560" w:lineRule="exact"/>
              <w:rPr>
                <w:rFonts w:ascii="宋体" w:hAnsi="宋体" w:eastAsia="仿宋_GB2312" w:cs="Times New Roman"/>
                <w:sz w:val="24"/>
                <w:szCs w:val="24"/>
              </w:rPr>
            </w:pPr>
            <w:r>
              <w:rPr>
                <w:rFonts w:hint="eastAsia" w:ascii="宋体" w:hAnsi="宋体" w:eastAsia="仿宋_GB2312" w:cs="Times New Roman"/>
                <w:sz w:val="24"/>
                <w:szCs w:val="24"/>
              </w:rPr>
              <w:t>1.仪器设备使用说明书、合格证、环保产品认证、操作规程、设施故障预防和应急措施、工作联系牌；</w:t>
            </w:r>
          </w:p>
          <w:p>
            <w:pPr>
              <w:widowControl w:val="0"/>
              <w:spacing w:after="0" w:line="560" w:lineRule="exact"/>
              <w:rPr>
                <w:rFonts w:ascii="宋体" w:hAnsi="宋体" w:eastAsia="仿宋_GB2312" w:cs="Times New Roman"/>
                <w:sz w:val="24"/>
                <w:szCs w:val="24"/>
              </w:rPr>
            </w:pPr>
            <w:r>
              <w:rPr>
                <w:rFonts w:hint="eastAsia" w:ascii="宋体" w:hAnsi="宋体" w:eastAsia="仿宋_GB2312" w:cs="Times New Roman"/>
                <w:sz w:val="24"/>
                <w:szCs w:val="24"/>
              </w:rPr>
              <w:t>2.维护记录单独成册，完整、连续，及时记录异常、数据缺失时段及处理结果，平均每周一次，保存三年历史记录，如无三年运维史，需保存运维时期记录；</w:t>
            </w:r>
          </w:p>
          <w:p>
            <w:pPr>
              <w:widowControl w:val="0"/>
              <w:spacing w:after="0" w:line="560" w:lineRule="exact"/>
              <w:rPr>
                <w:rFonts w:ascii="宋体" w:hAnsi="宋体" w:eastAsia="仿宋_GB2312" w:cs="Times New Roman"/>
                <w:sz w:val="24"/>
                <w:szCs w:val="24"/>
              </w:rPr>
            </w:pPr>
            <w:r>
              <w:rPr>
                <w:rFonts w:hint="eastAsia" w:ascii="宋体" w:hAnsi="宋体" w:eastAsia="仿宋_GB2312" w:cs="Times New Roman"/>
                <w:sz w:val="24"/>
                <w:szCs w:val="24"/>
              </w:rPr>
              <w:t>3.维护记录中有废液处置记录及委托处理合同；</w:t>
            </w:r>
          </w:p>
          <w:p>
            <w:pPr>
              <w:widowControl w:val="0"/>
              <w:spacing w:after="0" w:line="560" w:lineRule="exact"/>
              <w:rPr>
                <w:rFonts w:ascii="宋体" w:hAnsi="宋体" w:eastAsia="仿宋_GB2312" w:cs="Times New Roman"/>
                <w:sz w:val="24"/>
                <w:szCs w:val="24"/>
              </w:rPr>
            </w:pPr>
            <w:r>
              <w:rPr>
                <w:rFonts w:hint="eastAsia" w:ascii="宋体" w:hAnsi="宋体" w:eastAsia="仿宋_GB2312" w:cs="Times New Roman"/>
                <w:sz w:val="24"/>
                <w:szCs w:val="24"/>
              </w:rPr>
              <w:t>4.维修记录中有故障维修记录，包括系统故障状况、响应时间、故障分析、故障排除、申请恢复等工作的有关记录；保存三年历史记录，如无三年运维史，需保存运维时期记录；</w:t>
            </w:r>
          </w:p>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5.校准记录单独成册，完整、连续；质控样分两种浓度且在量程范围以内，记录每周一次；实样比对记录废水40天内一次，废气120天内一次，保存三年历史记录，如无三年运维史，需保存运维时期记录；</w:t>
            </w:r>
          </w:p>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6.自动监控系统故障期（超过72小时）和有效性审核不合格期的手工监测数据是否开展，开展频次（6小时一次），现场存放。</w:t>
            </w:r>
          </w:p>
          <w:p>
            <w:pPr>
              <w:widowControl w:val="0"/>
              <w:spacing w:after="0" w:line="560" w:lineRule="exact"/>
              <w:jc w:val="center"/>
              <w:rPr>
                <w:rFonts w:ascii="宋体" w:hAnsi="宋体" w:eastAsia="仿宋_GB2312" w:cs="Times New Roman"/>
                <w:sz w:val="24"/>
                <w:szCs w:val="24"/>
              </w:rPr>
            </w:pPr>
            <w:r>
              <w:rPr>
                <w:rFonts w:hint="eastAsia" w:ascii="宋体" w:hAnsi="宋体" w:eastAsia="仿宋_GB2312" w:cs="Times New Roman"/>
                <w:sz w:val="24"/>
                <w:szCs w:val="24"/>
              </w:rPr>
              <w:t>（各项记录须与数采仪提供的信息一致）</w:t>
            </w:r>
          </w:p>
        </w:tc>
        <w:tc>
          <w:tcPr>
            <w:tcW w:w="622" w:type="dxa"/>
            <w:tcBorders>
              <w:top w:val="single" w:color="000000" w:sz="2" w:space="0"/>
              <w:left w:val="single" w:color="000000" w:sz="2" w:space="0"/>
              <w:bottom w:val="single" w:color="000000" w:sz="2" w:space="0"/>
              <w:right w:val="single" w:color="000000" w:sz="2" w:space="0"/>
            </w:tcBorders>
            <w:noWrap/>
            <w:vAlign w:val="center"/>
          </w:tcPr>
          <w:p>
            <w:pPr>
              <w:spacing w:line="256" w:lineRule="auto"/>
              <w:jc w:val="center"/>
              <w:rPr>
                <w:rFonts w:ascii="宋体" w:hAnsi="宋体" w:eastAsia="仿宋_GB2312" w:cs="Times New Roman"/>
                <w:sz w:val="24"/>
                <w:szCs w:val="24"/>
              </w:rPr>
            </w:pPr>
            <w:r>
              <w:rPr>
                <w:rFonts w:hint="eastAsia" w:ascii="宋体" w:hAnsi="宋体" w:eastAsia="仿宋_GB2312" w:cs="Times New Roman"/>
                <w:sz w:val="24"/>
                <w:szCs w:val="24"/>
              </w:rPr>
              <w:t>5</w:t>
            </w:r>
          </w:p>
        </w:tc>
        <w:tc>
          <w:tcPr>
            <w:tcW w:w="4613" w:type="dxa"/>
            <w:tcBorders>
              <w:top w:val="single" w:color="000000" w:sz="2" w:space="0"/>
              <w:left w:val="single" w:color="000000" w:sz="2" w:space="0"/>
              <w:bottom w:val="single" w:color="000000" w:sz="2" w:space="0"/>
              <w:right w:val="single" w:color="000000" w:sz="2" w:space="0"/>
            </w:tcBorders>
            <w:noWrap/>
            <w:vAlign w:val="center"/>
          </w:tcPr>
          <w:p>
            <w:pPr>
              <w:widowControl w:val="0"/>
              <w:spacing w:after="0" w:line="560" w:lineRule="exact"/>
              <w:rPr>
                <w:rFonts w:ascii="宋体" w:hAnsi="宋体" w:eastAsia="仿宋_GB2312" w:cs="Times New Roman"/>
                <w:sz w:val="24"/>
                <w:szCs w:val="24"/>
              </w:rPr>
            </w:pPr>
            <w:r>
              <w:rPr>
                <w:rFonts w:hint="eastAsia" w:ascii="宋体" w:hAnsi="宋体" w:eastAsia="仿宋_GB2312" w:cs="Times New Roman"/>
                <w:sz w:val="24"/>
                <w:szCs w:val="24"/>
              </w:rPr>
              <w:t>1.发现伪造纪录，按情节加倍扣分或一票否决；</w:t>
            </w:r>
          </w:p>
          <w:p>
            <w:pPr>
              <w:widowControl w:val="0"/>
              <w:spacing w:after="0" w:line="560" w:lineRule="exact"/>
            </w:pPr>
            <w:r>
              <w:rPr>
                <w:rFonts w:hint="eastAsia" w:ascii="宋体" w:hAnsi="宋体" w:eastAsia="仿宋_GB2312" w:cs="Times New Roman"/>
                <w:sz w:val="24"/>
                <w:szCs w:val="24"/>
              </w:rPr>
              <w:t>2.纪录缺失的，每项扣2分，纪录不规范的，每项扣1分，扣完为止。</w:t>
            </w:r>
          </w:p>
        </w:tc>
      </w:tr>
      <w:tr>
        <w:tblPrEx>
          <w:tblCellMar>
            <w:top w:w="43" w:type="dxa"/>
            <w:left w:w="105" w:type="dxa"/>
            <w:bottom w:w="0" w:type="dxa"/>
            <w:right w:w="105" w:type="dxa"/>
          </w:tblCellMar>
        </w:tblPrEx>
        <w:trPr>
          <w:trHeight w:val="2841" w:hRule="atLeast"/>
        </w:trPr>
        <w:tc>
          <w:tcPr>
            <w:tcW w:w="594" w:type="dxa"/>
            <w:vMerge w:val="restart"/>
            <w:tcBorders>
              <w:top w:val="single" w:color="000000" w:sz="2" w:space="0"/>
              <w:left w:val="single" w:color="000000" w:sz="2" w:space="0"/>
              <w:right w:val="single" w:color="000000" w:sz="2" w:space="0"/>
            </w:tcBorders>
            <w:noWrap/>
            <w:vAlign w:val="center"/>
          </w:tcPr>
          <w:p>
            <w:pPr>
              <w:rPr>
                <w:rFonts w:ascii="等线" w:hAnsi="等线" w:eastAsia="等线" w:cs="等线"/>
                <w:sz w:val="21"/>
              </w:rPr>
            </w:pPr>
            <w:r>
              <w:rPr>
                <w:rFonts w:hint="eastAsia" w:ascii="等线" w:hAnsi="等线" w:eastAsia="等线" w:cs="等线"/>
                <w:sz w:val="21"/>
              </w:rPr>
              <w:t>2</w:t>
            </w:r>
          </w:p>
        </w:tc>
        <w:tc>
          <w:tcPr>
            <w:tcW w:w="516" w:type="dxa"/>
            <w:vMerge w:val="restart"/>
            <w:tcBorders>
              <w:top w:val="single" w:color="000000" w:sz="2" w:space="0"/>
              <w:left w:val="single" w:color="000000" w:sz="2" w:space="0"/>
              <w:right w:val="single" w:color="000000" w:sz="2" w:space="0"/>
            </w:tcBorders>
            <w:noWrap/>
            <w:vAlign w:val="center"/>
          </w:tcPr>
          <w:p>
            <w:pPr>
              <w:rPr>
                <w:rFonts w:ascii="宋体" w:hAnsi="宋体" w:eastAsia="仿宋_GB2312" w:cs="Times New Roman"/>
                <w:sz w:val="24"/>
                <w:szCs w:val="24"/>
              </w:rPr>
            </w:pPr>
            <w:r>
              <w:rPr>
                <w:rFonts w:hint="eastAsia" w:ascii="宋体" w:hAnsi="宋体" w:eastAsia="仿宋_GB2312" w:cs="Times New Roman"/>
                <w:sz w:val="24"/>
                <w:szCs w:val="24"/>
              </w:rPr>
              <w:t>网上考核</w:t>
            </w:r>
          </w:p>
        </w:tc>
        <w:tc>
          <w:tcPr>
            <w:tcW w:w="855" w:type="dxa"/>
            <w:tcBorders>
              <w:top w:val="single" w:color="000000" w:sz="2" w:space="0"/>
              <w:left w:val="single" w:color="000000" w:sz="2" w:space="0"/>
              <w:bottom w:val="single" w:color="000000" w:sz="2" w:space="0"/>
              <w:right w:val="single" w:color="000000" w:sz="2" w:space="0"/>
            </w:tcBorders>
            <w:noWrap/>
            <w:vAlign w:val="center"/>
          </w:tcPr>
          <w:p>
            <w:pPr>
              <w:spacing w:after="0" w:line="256" w:lineRule="auto"/>
              <w:ind w:left="38" w:right="27"/>
              <w:jc w:val="center"/>
              <w:rPr>
                <w:rFonts w:ascii="宋体" w:hAnsi="宋体" w:eastAsia="仿宋_GB2312" w:cs="Times New Roman"/>
                <w:sz w:val="24"/>
                <w:szCs w:val="24"/>
              </w:rPr>
            </w:pPr>
            <w:r>
              <w:rPr>
                <w:rFonts w:hint="eastAsia" w:ascii="宋体" w:hAnsi="宋体" w:eastAsia="仿宋_GB2312" w:cs="Times New Roman"/>
                <w:sz w:val="24"/>
                <w:szCs w:val="24"/>
              </w:rPr>
              <w:t>数据传输有效率</w:t>
            </w:r>
          </w:p>
        </w:tc>
        <w:tc>
          <w:tcPr>
            <w:tcW w:w="6986" w:type="dxa"/>
            <w:tcBorders>
              <w:top w:val="single" w:color="000000" w:sz="2" w:space="0"/>
              <w:left w:val="single" w:color="000000" w:sz="2" w:space="0"/>
              <w:bottom w:val="single" w:color="000000" w:sz="2" w:space="0"/>
              <w:right w:val="single" w:color="000000" w:sz="2" w:space="0"/>
            </w:tcBorders>
            <w:noWrap/>
            <w:vAlign w:val="center"/>
          </w:tcPr>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年均联网率95％以上。</w:t>
            </w:r>
          </w:p>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数据有效率，年均有效率95％以上。</w:t>
            </w:r>
          </w:p>
        </w:tc>
        <w:tc>
          <w:tcPr>
            <w:tcW w:w="622" w:type="dxa"/>
            <w:tcBorders>
              <w:top w:val="single" w:color="000000" w:sz="2" w:space="0"/>
              <w:left w:val="single" w:color="000000" w:sz="2" w:space="0"/>
              <w:bottom w:val="single" w:color="000000" w:sz="2" w:space="0"/>
              <w:right w:val="single" w:color="000000" w:sz="2" w:space="0"/>
            </w:tcBorders>
            <w:noWrap/>
            <w:vAlign w:val="center"/>
          </w:tcPr>
          <w:p>
            <w:pPr>
              <w:widowControl w:val="0"/>
              <w:spacing w:after="0" w:line="560" w:lineRule="exact"/>
              <w:jc w:val="center"/>
              <w:rPr>
                <w:rFonts w:ascii="宋体" w:hAnsi="宋体" w:eastAsia="仿宋_GB2312" w:cs="Times New Roman"/>
                <w:sz w:val="24"/>
                <w:szCs w:val="24"/>
              </w:rPr>
            </w:pPr>
            <w:r>
              <w:rPr>
                <w:rFonts w:hint="eastAsia" w:ascii="宋体" w:hAnsi="宋体" w:eastAsia="仿宋_GB2312" w:cs="Times New Roman"/>
                <w:sz w:val="24"/>
                <w:szCs w:val="24"/>
              </w:rPr>
              <w:t>20</w:t>
            </w:r>
          </w:p>
        </w:tc>
        <w:tc>
          <w:tcPr>
            <w:tcW w:w="4613" w:type="dxa"/>
            <w:tcBorders>
              <w:top w:val="single" w:color="000000" w:sz="2" w:space="0"/>
              <w:left w:val="single" w:color="000000" w:sz="2" w:space="0"/>
              <w:bottom w:val="single" w:color="000000" w:sz="2" w:space="0"/>
              <w:right w:val="single" w:color="000000" w:sz="2" w:space="0"/>
            </w:tcBorders>
            <w:noWrap/>
            <w:vAlign w:val="center"/>
          </w:tcPr>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年均传输有效率低于95％，未达到不得分或一票否决。</w:t>
            </w:r>
          </w:p>
        </w:tc>
      </w:tr>
      <w:tr>
        <w:trPr>
          <w:trHeight w:val="2793" w:hRule="atLeast"/>
        </w:trPr>
        <w:tc>
          <w:tcPr>
            <w:tcW w:w="594" w:type="dxa"/>
            <w:vMerge w:val="continue"/>
            <w:tcBorders>
              <w:left w:val="single" w:color="000000" w:sz="2" w:space="0"/>
              <w:bottom w:val="single" w:color="000000" w:sz="2" w:space="0"/>
              <w:right w:val="single" w:color="000000" w:sz="2" w:space="0"/>
            </w:tcBorders>
            <w:noWrap/>
            <w:vAlign w:val="center"/>
          </w:tcPr>
          <w:p>
            <w:pPr>
              <w:rPr>
                <w:rFonts w:ascii="等线" w:hAnsi="等线" w:eastAsia="等线" w:cs="等线"/>
                <w:sz w:val="21"/>
              </w:rPr>
            </w:pPr>
          </w:p>
        </w:tc>
        <w:tc>
          <w:tcPr>
            <w:tcW w:w="516" w:type="dxa"/>
            <w:vMerge w:val="continue"/>
            <w:tcBorders>
              <w:left w:val="single" w:color="000000" w:sz="2" w:space="0"/>
              <w:bottom w:val="single" w:color="000000" w:sz="2" w:space="0"/>
              <w:right w:val="single" w:color="000000" w:sz="2" w:space="0"/>
            </w:tcBorders>
            <w:noWrap/>
            <w:vAlign w:val="center"/>
          </w:tcPr>
          <w:p>
            <w:pPr>
              <w:rPr>
                <w:rFonts w:ascii="宋体" w:hAnsi="宋体" w:eastAsia="仿宋_GB2312" w:cs="Times New Roman"/>
                <w:sz w:val="24"/>
                <w:szCs w:val="24"/>
              </w:rPr>
            </w:pPr>
          </w:p>
        </w:tc>
        <w:tc>
          <w:tcPr>
            <w:tcW w:w="855" w:type="dxa"/>
            <w:tcBorders>
              <w:top w:val="single" w:color="000000" w:sz="2" w:space="0"/>
              <w:left w:val="single" w:color="000000" w:sz="2" w:space="0"/>
              <w:bottom w:val="single" w:color="000000" w:sz="2" w:space="0"/>
              <w:right w:val="single" w:color="000000" w:sz="2" w:space="0"/>
            </w:tcBorders>
            <w:noWrap/>
            <w:vAlign w:val="center"/>
          </w:tcPr>
          <w:p>
            <w:pPr>
              <w:spacing w:after="0" w:line="256" w:lineRule="auto"/>
              <w:ind w:left="38" w:right="27"/>
              <w:jc w:val="center"/>
              <w:rPr>
                <w:rFonts w:ascii="宋体" w:hAnsi="宋体" w:eastAsia="仿宋_GB2312" w:cs="Times New Roman"/>
                <w:sz w:val="24"/>
                <w:szCs w:val="24"/>
              </w:rPr>
            </w:pPr>
            <w:r>
              <w:rPr>
                <w:rFonts w:hint="eastAsia" w:ascii="宋体" w:hAnsi="宋体" w:eastAsia="仿宋_GB2312" w:cs="Times New Roman"/>
                <w:sz w:val="24"/>
                <w:szCs w:val="24"/>
              </w:rPr>
              <w:t>监控视频</w:t>
            </w:r>
          </w:p>
        </w:tc>
        <w:tc>
          <w:tcPr>
            <w:tcW w:w="6986" w:type="dxa"/>
            <w:tcBorders>
              <w:top w:val="single" w:color="000000" w:sz="2" w:space="0"/>
              <w:left w:val="single" w:color="000000" w:sz="2" w:space="0"/>
              <w:bottom w:val="single" w:color="000000" w:sz="2" w:space="0"/>
              <w:right w:val="single" w:color="000000" w:sz="2" w:space="0"/>
            </w:tcBorders>
            <w:noWrap/>
            <w:vAlign w:val="center"/>
          </w:tcPr>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处理设施、排放口、监控站房的监控视频清晰在线。</w:t>
            </w:r>
          </w:p>
        </w:tc>
        <w:tc>
          <w:tcPr>
            <w:tcW w:w="622" w:type="dxa"/>
            <w:tcBorders>
              <w:top w:val="single" w:color="000000" w:sz="2" w:space="0"/>
              <w:left w:val="single" w:color="000000" w:sz="2" w:space="0"/>
              <w:bottom w:val="single" w:color="000000" w:sz="2" w:space="0"/>
              <w:right w:val="single" w:color="000000" w:sz="2" w:space="0"/>
            </w:tcBorders>
            <w:noWrap/>
            <w:vAlign w:val="center"/>
          </w:tcPr>
          <w:p>
            <w:pPr>
              <w:widowControl w:val="0"/>
              <w:spacing w:after="0" w:line="560" w:lineRule="exact"/>
              <w:jc w:val="center"/>
              <w:rPr>
                <w:rFonts w:ascii="宋体" w:hAnsi="宋体" w:eastAsia="仿宋_GB2312" w:cs="Times New Roman"/>
                <w:sz w:val="24"/>
                <w:szCs w:val="24"/>
              </w:rPr>
            </w:pPr>
            <w:r>
              <w:rPr>
                <w:rFonts w:hint="eastAsia" w:ascii="宋体" w:hAnsi="宋体" w:eastAsia="仿宋_GB2312" w:cs="Times New Roman"/>
                <w:sz w:val="24"/>
                <w:szCs w:val="24"/>
              </w:rPr>
              <w:t>10</w:t>
            </w:r>
          </w:p>
        </w:tc>
        <w:tc>
          <w:tcPr>
            <w:tcW w:w="4613" w:type="dxa"/>
            <w:tcBorders>
              <w:top w:val="single" w:color="000000" w:sz="2" w:space="0"/>
              <w:left w:val="single" w:color="000000" w:sz="2" w:space="0"/>
              <w:bottom w:val="single" w:color="000000" w:sz="2" w:space="0"/>
              <w:right w:val="single" w:color="000000" w:sz="2" w:space="0"/>
            </w:tcBorders>
            <w:noWrap/>
            <w:vAlign w:val="center"/>
          </w:tcPr>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网络巡检发现不正常，一次扣1分，扣完为止。</w:t>
            </w:r>
          </w:p>
        </w:tc>
      </w:tr>
      <w:tr>
        <w:tblPrEx>
          <w:tblCellMar>
            <w:top w:w="43" w:type="dxa"/>
            <w:left w:w="105" w:type="dxa"/>
            <w:bottom w:w="0" w:type="dxa"/>
            <w:right w:w="105" w:type="dxa"/>
          </w:tblCellMar>
        </w:tblPrEx>
        <w:trPr>
          <w:trHeight w:val="2793" w:hRule="atLeast"/>
        </w:trPr>
        <w:tc>
          <w:tcPr>
            <w:tcW w:w="594" w:type="dxa"/>
            <w:vMerge w:val="restart"/>
            <w:tcBorders>
              <w:top w:val="single" w:color="000000" w:sz="2" w:space="0"/>
              <w:left w:val="single" w:color="000000" w:sz="2" w:space="0"/>
              <w:right w:val="single" w:color="000000" w:sz="2" w:space="0"/>
            </w:tcBorders>
            <w:noWrap/>
            <w:vAlign w:val="center"/>
          </w:tcPr>
          <w:p>
            <w:pPr>
              <w:jc w:val="center"/>
              <w:rPr>
                <w:rFonts w:ascii="等线" w:hAnsi="等线" w:eastAsia="等线" w:cs="等线"/>
                <w:sz w:val="21"/>
              </w:rPr>
            </w:pPr>
            <w:r>
              <w:rPr>
                <w:rFonts w:hint="eastAsia" w:ascii="等线" w:hAnsi="等线" w:eastAsia="等线" w:cs="等线"/>
                <w:sz w:val="21"/>
              </w:rPr>
              <w:t>3</w:t>
            </w:r>
          </w:p>
        </w:tc>
        <w:tc>
          <w:tcPr>
            <w:tcW w:w="516" w:type="dxa"/>
            <w:vMerge w:val="restart"/>
            <w:tcBorders>
              <w:top w:val="single" w:color="000000" w:sz="2" w:space="0"/>
              <w:left w:val="single" w:color="000000" w:sz="2" w:space="0"/>
              <w:right w:val="single" w:color="000000" w:sz="2" w:space="0"/>
            </w:tcBorders>
            <w:noWrap/>
            <w:vAlign w:val="center"/>
          </w:tcPr>
          <w:p>
            <w:pPr>
              <w:jc w:val="center"/>
              <w:rPr>
                <w:rFonts w:ascii="宋体" w:hAnsi="宋体" w:eastAsia="仿宋_GB2312" w:cs="Times New Roman"/>
                <w:sz w:val="24"/>
                <w:szCs w:val="24"/>
              </w:rPr>
            </w:pPr>
            <w:r>
              <w:rPr>
                <w:rFonts w:hint="eastAsia" w:ascii="宋体" w:hAnsi="宋体" w:eastAsia="仿宋_GB2312" w:cs="Times New Roman"/>
                <w:sz w:val="24"/>
                <w:szCs w:val="24"/>
              </w:rPr>
              <w:t>现场考核</w:t>
            </w:r>
          </w:p>
        </w:tc>
        <w:tc>
          <w:tcPr>
            <w:tcW w:w="855" w:type="dxa"/>
            <w:tcBorders>
              <w:top w:val="single" w:color="000000" w:sz="2" w:space="0"/>
              <w:left w:val="single" w:color="000000" w:sz="2" w:space="0"/>
              <w:bottom w:val="single" w:color="000000" w:sz="2" w:space="0"/>
              <w:right w:val="single" w:color="000000" w:sz="2" w:space="0"/>
            </w:tcBorders>
            <w:noWrap/>
            <w:vAlign w:val="center"/>
          </w:tcPr>
          <w:p>
            <w:pPr>
              <w:spacing w:after="0" w:line="256" w:lineRule="auto"/>
              <w:ind w:left="38" w:right="27"/>
              <w:jc w:val="center"/>
              <w:rPr>
                <w:rFonts w:ascii="宋体" w:hAnsi="宋体" w:eastAsia="仿宋_GB2312" w:cs="Times New Roman"/>
                <w:sz w:val="24"/>
                <w:szCs w:val="24"/>
              </w:rPr>
            </w:pPr>
            <w:r>
              <w:rPr>
                <w:rFonts w:hint="eastAsia" w:ascii="宋体" w:hAnsi="宋体" w:eastAsia="仿宋_GB2312" w:cs="Times New Roman"/>
                <w:sz w:val="24"/>
                <w:szCs w:val="24"/>
              </w:rPr>
              <w:t>站房考核</w:t>
            </w:r>
          </w:p>
        </w:tc>
        <w:tc>
          <w:tcPr>
            <w:tcW w:w="6986" w:type="dxa"/>
            <w:tcBorders>
              <w:top w:val="single" w:color="000000" w:sz="2" w:space="0"/>
              <w:left w:val="single" w:color="000000" w:sz="2" w:space="0"/>
              <w:bottom w:val="single" w:color="000000" w:sz="2" w:space="0"/>
              <w:right w:val="single" w:color="000000" w:sz="2" w:space="0"/>
            </w:tcBorders>
            <w:noWrap/>
            <w:vAlign w:val="center"/>
          </w:tcPr>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1.站房必须专房专用，无闲杂物品</w:t>
            </w:r>
          </w:p>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2.湎积大于7</w:t>
            </w:r>
            <w:r>
              <w:rPr>
                <w:rFonts w:hint="eastAsia" w:ascii="微软雅黑" w:hAnsi="微软雅黑" w:eastAsia="微软雅黑" w:cs="微软雅黑"/>
                <w:sz w:val="18"/>
              </w:rPr>
              <w:t>m2</w:t>
            </w:r>
            <w:r>
              <w:rPr>
                <w:rFonts w:hint="eastAsia" w:ascii="宋体" w:hAnsi="宋体" w:eastAsia="仿宋_GB2312" w:cs="Times New Roman"/>
                <w:sz w:val="24"/>
                <w:szCs w:val="24"/>
              </w:rPr>
              <w:t>，高度不低于2.2m，与采样点的距离小于50m；</w:t>
            </w:r>
          </w:p>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3.配备空调、不间断电源、给排水设施、灭火设施，各项环境条件满足仪器设备正常工作的要求；</w:t>
            </w:r>
          </w:p>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4.站房门牌、制度上墙、</w:t>
            </w:r>
            <w:r>
              <w:rPr>
                <w:rFonts w:hint="eastAsia" w:ascii="宋体" w:hAnsi="宋体" w:eastAsia="仿宋_GB2312" w:cs="Times New Roman"/>
                <w:color w:val="auto"/>
                <w:sz w:val="24"/>
                <w:szCs w:val="24"/>
              </w:rPr>
              <w:t>有门禁系统</w:t>
            </w:r>
            <w:r>
              <w:rPr>
                <w:rFonts w:hint="eastAsia" w:ascii="宋体" w:hAnsi="宋体" w:eastAsia="仿宋_GB2312" w:cs="Times New Roman"/>
                <w:sz w:val="24"/>
                <w:szCs w:val="24"/>
              </w:rPr>
              <w:t>；</w:t>
            </w:r>
          </w:p>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5.管路清晰，布局美观，整齐干净，无振动、漏水、漏风；</w:t>
            </w:r>
          </w:p>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color w:val="auto"/>
                <w:sz w:val="24"/>
                <w:szCs w:val="24"/>
              </w:rPr>
              <w:t>6.分瓶采样仪现场采样、远程采样和超标留样功能正常。</w:t>
            </w:r>
          </w:p>
        </w:tc>
        <w:tc>
          <w:tcPr>
            <w:tcW w:w="622" w:type="dxa"/>
            <w:tcBorders>
              <w:top w:val="single" w:color="000000" w:sz="2" w:space="0"/>
              <w:left w:val="single" w:color="000000" w:sz="2" w:space="0"/>
              <w:bottom w:val="single" w:color="000000" w:sz="2" w:space="0"/>
              <w:right w:val="single" w:color="000000" w:sz="2" w:space="0"/>
            </w:tcBorders>
            <w:noWrap/>
            <w:vAlign w:val="center"/>
          </w:tcPr>
          <w:p>
            <w:pPr>
              <w:widowControl w:val="0"/>
              <w:spacing w:after="0" w:line="560" w:lineRule="exact"/>
              <w:jc w:val="center"/>
              <w:rPr>
                <w:rFonts w:ascii="宋体" w:hAnsi="宋体" w:eastAsia="仿宋_GB2312" w:cs="Times New Roman"/>
                <w:sz w:val="24"/>
                <w:szCs w:val="24"/>
              </w:rPr>
            </w:pPr>
            <w:r>
              <w:rPr>
                <w:rFonts w:hint="eastAsia" w:ascii="宋体" w:hAnsi="宋体" w:eastAsia="仿宋_GB2312" w:cs="Times New Roman"/>
                <w:sz w:val="24"/>
                <w:szCs w:val="24"/>
              </w:rPr>
              <w:t>10</w:t>
            </w:r>
          </w:p>
        </w:tc>
        <w:tc>
          <w:tcPr>
            <w:tcW w:w="4613" w:type="dxa"/>
            <w:tcBorders>
              <w:top w:val="single" w:color="000000" w:sz="2" w:space="0"/>
              <w:left w:val="single" w:color="000000" w:sz="2" w:space="0"/>
              <w:bottom w:val="single" w:color="000000" w:sz="2" w:space="0"/>
              <w:right w:val="single" w:color="000000" w:sz="2" w:space="0"/>
            </w:tcBorders>
            <w:noWrap/>
            <w:vAlign w:val="center"/>
          </w:tcPr>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1.站房未专房专用，此项0分；</w:t>
            </w:r>
          </w:p>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2.其他每不符合一项扣2分，扣完为止。</w:t>
            </w:r>
          </w:p>
        </w:tc>
      </w:tr>
      <w:tr>
        <w:trPr>
          <w:trHeight w:val="2793" w:hRule="atLeast"/>
        </w:trPr>
        <w:tc>
          <w:tcPr>
            <w:tcW w:w="594" w:type="dxa"/>
            <w:vMerge w:val="continue"/>
            <w:tcBorders>
              <w:left w:val="single" w:color="000000" w:sz="2" w:space="0"/>
              <w:right w:val="single" w:color="000000" w:sz="2" w:space="0"/>
            </w:tcBorders>
            <w:noWrap/>
            <w:vAlign w:val="center"/>
          </w:tcPr>
          <w:p>
            <w:pPr>
              <w:rPr>
                <w:rFonts w:ascii="等线" w:hAnsi="等线" w:eastAsia="等线" w:cs="等线"/>
                <w:sz w:val="21"/>
              </w:rPr>
            </w:pPr>
          </w:p>
        </w:tc>
        <w:tc>
          <w:tcPr>
            <w:tcW w:w="516" w:type="dxa"/>
            <w:vMerge w:val="continue"/>
            <w:tcBorders>
              <w:left w:val="single" w:color="000000" w:sz="2" w:space="0"/>
              <w:right w:val="single" w:color="000000" w:sz="2" w:space="0"/>
            </w:tcBorders>
            <w:noWrap/>
            <w:vAlign w:val="center"/>
          </w:tcPr>
          <w:p>
            <w:pPr>
              <w:rPr>
                <w:rFonts w:ascii="宋体" w:hAnsi="宋体" w:eastAsia="仿宋_GB2312" w:cs="Times New Roman"/>
                <w:sz w:val="24"/>
                <w:szCs w:val="24"/>
              </w:rPr>
            </w:pPr>
          </w:p>
        </w:tc>
        <w:tc>
          <w:tcPr>
            <w:tcW w:w="855" w:type="dxa"/>
            <w:tcBorders>
              <w:top w:val="single" w:color="000000" w:sz="2" w:space="0"/>
              <w:left w:val="single" w:color="000000" w:sz="2" w:space="0"/>
              <w:bottom w:val="single" w:color="000000" w:sz="2" w:space="0"/>
              <w:right w:val="single" w:color="000000" w:sz="2" w:space="0"/>
            </w:tcBorders>
            <w:noWrap/>
            <w:vAlign w:val="center"/>
          </w:tcPr>
          <w:p>
            <w:pPr>
              <w:spacing w:after="0" w:line="256" w:lineRule="auto"/>
              <w:ind w:left="38" w:right="27"/>
              <w:jc w:val="center"/>
              <w:rPr>
                <w:rFonts w:ascii="宋体" w:hAnsi="宋体" w:eastAsia="仿宋_GB2312" w:cs="Times New Roman"/>
                <w:sz w:val="24"/>
                <w:szCs w:val="24"/>
              </w:rPr>
            </w:pPr>
            <w:r>
              <w:rPr>
                <w:rFonts w:hint="eastAsia" w:ascii="宋体" w:hAnsi="宋体" w:eastAsia="仿宋_GB2312" w:cs="Times New Roman"/>
                <w:sz w:val="24"/>
                <w:szCs w:val="24"/>
              </w:rPr>
              <w:t>排放口考核</w:t>
            </w:r>
          </w:p>
        </w:tc>
        <w:tc>
          <w:tcPr>
            <w:tcW w:w="6986" w:type="dxa"/>
            <w:tcBorders>
              <w:top w:val="single" w:color="000000" w:sz="2" w:space="0"/>
              <w:left w:val="single" w:color="000000" w:sz="2" w:space="0"/>
              <w:bottom w:val="single" w:color="000000" w:sz="2" w:space="0"/>
              <w:right w:val="single" w:color="000000" w:sz="2" w:space="0"/>
            </w:tcBorders>
            <w:noWrap/>
          </w:tcPr>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1.有醒目标志牌包括排污单位名称、排污口性质、主要污染因子；</w:t>
            </w:r>
          </w:p>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2.采样位置位于渠道计量水槽流路的中央，且采样口采水的前端设在下流的方向，测量合流排水时，在合流后充分混合的场所采水；采样点位应选择在垂直管段和烟道负压区域，避开烟道弯头和断面急剧变化的部位，尽可能选择在气流稳定的断面，且采样点位前直管段的长度应大于后直管段的</w:t>
            </w:r>
          </w:p>
        </w:tc>
        <w:tc>
          <w:tcPr>
            <w:tcW w:w="622" w:type="dxa"/>
            <w:tcBorders>
              <w:top w:val="single" w:color="000000" w:sz="2" w:space="0"/>
              <w:left w:val="single" w:color="000000" w:sz="2" w:space="0"/>
              <w:bottom w:val="single" w:color="000000" w:sz="2" w:space="0"/>
              <w:right w:val="single" w:color="000000" w:sz="2" w:space="0"/>
            </w:tcBorders>
            <w:noWrap/>
            <w:vAlign w:val="center"/>
          </w:tcPr>
          <w:p>
            <w:pPr>
              <w:widowControl w:val="0"/>
              <w:spacing w:after="0" w:line="560" w:lineRule="exact"/>
              <w:jc w:val="center"/>
              <w:rPr>
                <w:rFonts w:ascii="宋体" w:hAnsi="宋体" w:eastAsia="仿宋_GB2312" w:cs="Times New Roman"/>
                <w:sz w:val="24"/>
                <w:szCs w:val="24"/>
              </w:rPr>
            </w:pPr>
            <w:r>
              <w:rPr>
                <w:rFonts w:hint="eastAsia" w:ascii="宋体" w:hAnsi="宋体" w:eastAsia="仿宋_GB2312" w:cs="Times New Roman"/>
                <w:sz w:val="24"/>
                <w:szCs w:val="24"/>
              </w:rPr>
              <w:t>5</w:t>
            </w:r>
          </w:p>
        </w:tc>
        <w:tc>
          <w:tcPr>
            <w:tcW w:w="4613" w:type="dxa"/>
            <w:tcBorders>
              <w:top w:val="single" w:color="000000" w:sz="2" w:space="0"/>
              <w:left w:val="single" w:color="000000" w:sz="2" w:space="0"/>
              <w:bottom w:val="single" w:color="000000" w:sz="2" w:space="0"/>
              <w:right w:val="single" w:color="000000" w:sz="2" w:space="0"/>
            </w:tcBorders>
            <w:noWrap/>
            <w:vAlign w:val="center"/>
          </w:tcPr>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1 .标志牌不符合要求，扣2分；</w:t>
            </w:r>
          </w:p>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2．采样位置不合理，此项不得分。</w:t>
            </w:r>
          </w:p>
        </w:tc>
      </w:tr>
      <w:tr>
        <w:tblPrEx>
          <w:tblCellMar>
            <w:top w:w="43" w:type="dxa"/>
            <w:left w:w="105" w:type="dxa"/>
            <w:bottom w:w="0" w:type="dxa"/>
            <w:right w:w="105" w:type="dxa"/>
          </w:tblCellMar>
        </w:tblPrEx>
        <w:trPr>
          <w:trHeight w:val="2793" w:hRule="atLeast"/>
        </w:trPr>
        <w:tc>
          <w:tcPr>
            <w:tcW w:w="594" w:type="dxa"/>
            <w:vMerge w:val="continue"/>
            <w:tcBorders>
              <w:left w:val="single" w:color="000000" w:sz="2" w:space="0"/>
              <w:bottom w:val="single" w:color="000000" w:sz="2" w:space="0"/>
              <w:right w:val="single" w:color="000000" w:sz="2" w:space="0"/>
            </w:tcBorders>
            <w:noWrap/>
            <w:vAlign w:val="center"/>
          </w:tcPr>
          <w:p>
            <w:pPr>
              <w:rPr>
                <w:rFonts w:ascii="等线" w:hAnsi="等线" w:eastAsia="等线" w:cs="等线"/>
                <w:sz w:val="21"/>
              </w:rPr>
            </w:pPr>
          </w:p>
        </w:tc>
        <w:tc>
          <w:tcPr>
            <w:tcW w:w="516" w:type="dxa"/>
            <w:vMerge w:val="continue"/>
            <w:tcBorders>
              <w:left w:val="single" w:color="000000" w:sz="2" w:space="0"/>
              <w:bottom w:val="single" w:color="000000" w:sz="2" w:space="0"/>
              <w:right w:val="single" w:color="000000" w:sz="2" w:space="0"/>
            </w:tcBorders>
            <w:noWrap/>
            <w:vAlign w:val="center"/>
          </w:tcPr>
          <w:p>
            <w:pPr>
              <w:rPr>
                <w:rFonts w:ascii="宋体" w:hAnsi="宋体" w:eastAsia="仿宋_GB2312" w:cs="Times New Roman"/>
                <w:sz w:val="24"/>
                <w:szCs w:val="24"/>
              </w:rPr>
            </w:pPr>
          </w:p>
        </w:tc>
        <w:tc>
          <w:tcPr>
            <w:tcW w:w="855" w:type="dxa"/>
            <w:tcBorders>
              <w:top w:val="single" w:color="000000" w:sz="2" w:space="0"/>
              <w:left w:val="single" w:color="000000" w:sz="2" w:space="0"/>
              <w:bottom w:val="single" w:color="000000" w:sz="2" w:space="0"/>
              <w:right w:val="single" w:color="000000" w:sz="2" w:space="0"/>
            </w:tcBorders>
            <w:noWrap/>
            <w:vAlign w:val="center"/>
          </w:tcPr>
          <w:p>
            <w:pPr>
              <w:spacing w:after="0" w:line="256" w:lineRule="auto"/>
              <w:ind w:left="38" w:right="27"/>
              <w:jc w:val="center"/>
              <w:rPr>
                <w:rFonts w:ascii="宋体" w:hAnsi="宋体" w:eastAsia="仿宋_GB2312" w:cs="Times New Roman"/>
                <w:sz w:val="24"/>
                <w:szCs w:val="24"/>
              </w:rPr>
            </w:pPr>
            <w:r>
              <w:rPr>
                <w:rFonts w:hint="eastAsia" w:ascii="宋体" w:hAnsi="宋体" w:eastAsia="仿宋_GB2312" w:cs="Times New Roman"/>
                <w:sz w:val="24"/>
                <w:szCs w:val="24"/>
              </w:rPr>
              <w:t>监测仪考核</w:t>
            </w:r>
          </w:p>
        </w:tc>
        <w:tc>
          <w:tcPr>
            <w:tcW w:w="6986" w:type="dxa"/>
            <w:tcBorders>
              <w:top w:val="single" w:color="000000" w:sz="2" w:space="0"/>
              <w:left w:val="single" w:color="000000" w:sz="2" w:space="0"/>
              <w:bottom w:val="single" w:color="000000" w:sz="2" w:space="0"/>
              <w:right w:val="single" w:color="000000" w:sz="2" w:space="0"/>
            </w:tcBorders>
            <w:noWrap/>
          </w:tcPr>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1.污染源自动监控设施备案情况；</w:t>
            </w:r>
          </w:p>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2.一次仪表和数采仪的数据传输误差符合要求，废水一次仪表和数采仪误差不超过量程的1 ‰ S02、NOX、流速、烟尘一次仪表和数采仪的绝对误差不大于2％，不允许大于5%；</w:t>
            </w:r>
          </w:p>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生仪器量程设置合理。量程如可设，设为最大2．3倍排放标准值，如不可设，须有相关材料；</w:t>
            </w:r>
          </w:p>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3.数采仪上的量程与对应因子的仪器量程一致；</w:t>
            </w:r>
          </w:p>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4.标液，标气在有效期内，其浓度与量程相匹配（有两个浓度）；</w:t>
            </w:r>
          </w:p>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5.数采仪历史数据保存一年以上，并能在本机查找，更换升级或修理数采仪的应向属地环保部门报备。</w:t>
            </w:r>
          </w:p>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6.监测站比对监测情况；</w:t>
            </w:r>
          </w:p>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7.现场核查时采用标准溶液进行仪器离线测定，并进行比对分析；COD、氨氮、总氮、总磷标准溶液校验绝对误差小于10％，pH缓冲溶液校验绝对误差0．5，S02、NOX标气现场测定绝对误差小于5％；现场核查质控不合格，上次比对合格至下次比对合格时段有效率为0。</w:t>
            </w:r>
          </w:p>
        </w:tc>
        <w:tc>
          <w:tcPr>
            <w:tcW w:w="622" w:type="dxa"/>
            <w:tcBorders>
              <w:top w:val="single" w:color="000000" w:sz="2" w:space="0"/>
              <w:left w:val="single" w:color="000000" w:sz="2" w:space="0"/>
              <w:bottom w:val="single" w:color="000000" w:sz="2" w:space="0"/>
              <w:right w:val="single" w:color="000000" w:sz="2" w:space="0"/>
            </w:tcBorders>
            <w:noWrap/>
            <w:vAlign w:val="center"/>
          </w:tcPr>
          <w:p>
            <w:pPr>
              <w:spacing w:after="0" w:line="256" w:lineRule="auto"/>
              <w:ind w:left="29"/>
              <w:jc w:val="center"/>
              <w:rPr>
                <w:rFonts w:ascii="宋体" w:hAnsi="宋体" w:eastAsia="仿宋_GB2312" w:cs="Times New Roman"/>
                <w:sz w:val="24"/>
                <w:szCs w:val="24"/>
              </w:rPr>
            </w:pPr>
            <w:r>
              <w:rPr>
                <w:rFonts w:hint="eastAsia" w:ascii="宋体" w:hAnsi="宋体" w:eastAsia="仿宋_GB2312" w:cs="Times New Roman"/>
                <w:sz w:val="24"/>
                <w:szCs w:val="24"/>
              </w:rPr>
              <w:t>35</w:t>
            </w:r>
          </w:p>
        </w:tc>
        <w:tc>
          <w:tcPr>
            <w:tcW w:w="4613" w:type="dxa"/>
            <w:tcBorders>
              <w:top w:val="single" w:color="000000" w:sz="2" w:space="0"/>
              <w:left w:val="single" w:color="000000" w:sz="2" w:space="0"/>
              <w:bottom w:val="single" w:color="000000" w:sz="2" w:space="0"/>
              <w:right w:val="single" w:color="000000" w:sz="2" w:space="0"/>
            </w:tcBorders>
            <w:noWrap/>
            <w:vAlign w:val="center"/>
          </w:tcPr>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1.污染源自动监控设施情况未备案或备案不属实的，</w:t>
            </w:r>
            <w:r>
              <w:rPr>
                <w:rFonts w:hint="eastAsia" w:ascii="宋体" w:hAnsi="宋体" w:eastAsia="仿宋_GB2312" w:cs="Times New Roman"/>
                <w:sz w:val="24"/>
                <w:szCs w:val="24"/>
                <w:lang w:val="en-US" w:eastAsia="zh-CN"/>
              </w:rPr>
              <w:t>一</w:t>
            </w:r>
            <w:r>
              <w:rPr>
                <w:rFonts w:hint="eastAsia" w:ascii="宋体" w:hAnsi="宋体" w:eastAsia="仿宋_GB2312" w:cs="Times New Roman"/>
                <w:sz w:val="24"/>
                <w:szCs w:val="24"/>
              </w:rPr>
              <w:t>票否决，考核计0分；</w:t>
            </w:r>
          </w:p>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2.废水仪表误差不符合要求的，扣10分，废气仪表误差大于2％的扣10分，大于5％的扣20分：</w:t>
            </w:r>
          </w:p>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3.仪器量程设置不合理的，扣10分；</w:t>
            </w:r>
          </w:p>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4.数采仪与仪器量程不一致的，此项不得分，</w:t>
            </w:r>
          </w:p>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6.标液、标气不符合要求的，扣10分；</w:t>
            </w:r>
          </w:p>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7.数采仪历史数据保存不足一年的，扣10分。</w:t>
            </w:r>
          </w:p>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8.比对监测一次不合格扣10分，二次不合格扣 20分；</w:t>
            </w:r>
          </w:p>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9.现场质控不合格扣10分。</w:t>
            </w:r>
          </w:p>
          <w:p>
            <w:pPr>
              <w:widowControl w:val="0"/>
              <w:spacing w:after="0" w:line="560" w:lineRule="exact"/>
              <w:jc w:val="both"/>
              <w:rPr>
                <w:rFonts w:ascii="宋体" w:hAnsi="宋体" w:eastAsia="仿宋_GB2312" w:cs="Times New Roman"/>
                <w:sz w:val="24"/>
                <w:szCs w:val="24"/>
              </w:rPr>
            </w:pPr>
          </w:p>
          <w:p>
            <w:pPr>
              <w:widowControl w:val="0"/>
              <w:spacing w:after="0" w:line="560" w:lineRule="exact"/>
              <w:jc w:val="both"/>
              <w:rPr>
                <w:rFonts w:ascii="宋体" w:hAnsi="宋体" w:eastAsia="仿宋_GB2312" w:cs="Times New Roman"/>
                <w:sz w:val="24"/>
                <w:szCs w:val="24"/>
              </w:rPr>
            </w:pPr>
          </w:p>
        </w:tc>
      </w:tr>
      <w:tr>
        <w:tblPrEx>
          <w:tblCellMar>
            <w:top w:w="43" w:type="dxa"/>
            <w:left w:w="105" w:type="dxa"/>
            <w:bottom w:w="0" w:type="dxa"/>
            <w:right w:w="105" w:type="dxa"/>
          </w:tblCellMar>
        </w:tblPrEx>
        <w:trPr>
          <w:trHeight w:val="2793" w:hRule="atLeast"/>
        </w:trPr>
        <w:tc>
          <w:tcPr>
            <w:tcW w:w="594" w:type="dxa"/>
            <w:tcBorders>
              <w:top w:val="single" w:color="000000" w:sz="2" w:space="0"/>
              <w:left w:val="single" w:color="000000" w:sz="2" w:space="0"/>
              <w:bottom w:val="single" w:color="000000" w:sz="2" w:space="0"/>
              <w:right w:val="single" w:color="000000" w:sz="2" w:space="0"/>
            </w:tcBorders>
            <w:noWrap/>
            <w:vAlign w:val="center"/>
          </w:tcPr>
          <w:p>
            <w:pPr>
              <w:rPr>
                <w:rFonts w:ascii="等线" w:hAnsi="等线" w:eastAsia="等线" w:cs="等线"/>
                <w:sz w:val="21"/>
              </w:rPr>
            </w:pPr>
            <w:r>
              <w:rPr>
                <w:rFonts w:hint="eastAsia" w:ascii="等线" w:hAnsi="等线" w:eastAsia="等线" w:cs="等线"/>
                <w:sz w:val="21"/>
              </w:rPr>
              <w:t>4</w:t>
            </w:r>
          </w:p>
        </w:tc>
        <w:tc>
          <w:tcPr>
            <w:tcW w:w="516" w:type="dxa"/>
            <w:tcBorders>
              <w:top w:val="single" w:color="000000" w:sz="2" w:space="0"/>
              <w:left w:val="single" w:color="000000" w:sz="2" w:space="0"/>
              <w:bottom w:val="single" w:color="000000" w:sz="2" w:space="0"/>
              <w:right w:val="single" w:color="000000" w:sz="2" w:space="0"/>
            </w:tcBorders>
            <w:noWrap/>
            <w:vAlign w:val="center"/>
          </w:tcPr>
          <w:p>
            <w:pPr>
              <w:rPr>
                <w:rFonts w:ascii="宋体" w:hAnsi="宋体" w:eastAsia="仿宋_GB2312" w:cs="Times New Roman"/>
                <w:sz w:val="24"/>
                <w:szCs w:val="24"/>
              </w:rPr>
            </w:pPr>
            <w:r>
              <w:rPr>
                <w:rFonts w:hint="eastAsia" w:ascii="宋体" w:hAnsi="宋体" w:eastAsia="仿宋_GB2312" w:cs="Times New Roman"/>
                <w:sz w:val="24"/>
                <w:szCs w:val="24"/>
              </w:rPr>
              <w:t>一票否决</w:t>
            </w:r>
          </w:p>
        </w:tc>
        <w:tc>
          <w:tcPr>
            <w:tcW w:w="855" w:type="dxa"/>
            <w:tcBorders>
              <w:top w:val="single" w:color="000000" w:sz="2" w:space="0"/>
              <w:left w:val="single" w:color="000000" w:sz="2" w:space="0"/>
              <w:bottom w:val="single" w:color="000000" w:sz="2" w:space="0"/>
              <w:right w:val="single" w:color="000000" w:sz="2" w:space="0"/>
            </w:tcBorders>
            <w:noWrap/>
            <w:vAlign w:val="center"/>
          </w:tcPr>
          <w:p>
            <w:pPr>
              <w:spacing w:after="0" w:line="256" w:lineRule="auto"/>
              <w:ind w:left="38" w:right="27"/>
              <w:jc w:val="center"/>
              <w:rPr>
                <w:rFonts w:ascii="宋体" w:hAnsi="宋体" w:eastAsia="仿宋_GB2312" w:cs="Times New Roman"/>
                <w:sz w:val="24"/>
                <w:szCs w:val="24"/>
              </w:rPr>
            </w:pPr>
            <w:r>
              <w:rPr>
                <w:rFonts w:hint="eastAsia" w:ascii="宋体" w:hAnsi="宋体" w:eastAsia="仿宋_GB2312" w:cs="Times New Roman"/>
                <w:sz w:val="24"/>
                <w:szCs w:val="24"/>
              </w:rPr>
              <w:t>监管制度</w:t>
            </w:r>
          </w:p>
        </w:tc>
        <w:tc>
          <w:tcPr>
            <w:tcW w:w="6986" w:type="dxa"/>
            <w:tcBorders>
              <w:top w:val="single" w:color="000000" w:sz="2" w:space="0"/>
              <w:left w:val="single" w:color="000000" w:sz="2" w:space="0"/>
              <w:bottom w:val="single" w:color="000000" w:sz="2" w:space="0"/>
              <w:right w:val="single" w:color="000000" w:sz="2" w:space="0"/>
            </w:tcBorders>
            <w:noWrap/>
          </w:tcPr>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1.当年度有重大环境违法行为的；</w:t>
            </w:r>
          </w:p>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2.当年度因污染源自动监控系统运行维护工作不到位被上级环保部门通报或挂牌督办的；</w:t>
            </w:r>
          </w:p>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3.未按规定向属地环保部门登记污染源自动监控设施有关情况，或者登记不属实的；</w:t>
            </w:r>
          </w:p>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4.污染物自动监控系统发生故障不能正常使用的，未在12 小时内向属地环保部门报告的；</w:t>
            </w:r>
          </w:p>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5.未经属地环保部门同意，擅自拆除、闲置和不正常使用自动监控设施；</w:t>
            </w:r>
            <w:r>
              <w:rPr>
                <w:rFonts w:hint="eastAsia" w:ascii="宋体" w:hAnsi="宋体" w:eastAsia="仿宋_GB2312" w:cs="Times New Roman"/>
                <w:sz w:val="24"/>
                <w:szCs w:val="24"/>
              </w:rPr>
              <w:drawing>
                <wp:inline distT="0" distB="0" distL="114300" distR="114300">
                  <wp:extent cx="4445" cy="4445"/>
                  <wp:effectExtent l="0" t="0" r="0"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6"/>
                          <a:stretch>
                            <a:fillRect/>
                          </a:stretch>
                        </pic:blipFill>
                        <pic:spPr>
                          <a:xfrm>
                            <a:off x="0" y="0"/>
                            <a:ext cx="4445" cy="4445"/>
                          </a:xfrm>
                          <a:prstGeom prst="rect">
                            <a:avLst/>
                          </a:prstGeom>
                          <a:noFill/>
                          <a:ln>
                            <a:noFill/>
                          </a:ln>
                        </pic:spPr>
                      </pic:pic>
                    </a:graphicData>
                  </a:graphic>
                </wp:inline>
              </w:drawing>
            </w:r>
          </w:p>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6.违反技术规程、监测分析和数据传输要求，擅自改变自动监控设施的硬件、软件和工作方式（如量程设置不规范、设置转换系数等），采集、传输和篡改上报虚假监控数据等致使监控数据失真的。发现运维单位有配合或擅自篡改、伪造自动监测数据及其它使监控数据失真的行为的，不仅要依法处理，还要将运维单位和涉及弄虚作假行为的人员列入不良记录黑名单。</w:t>
            </w:r>
          </w:p>
          <w:p>
            <w:pPr>
              <w:widowControl w:val="0"/>
              <w:spacing w:after="0" w:line="560" w:lineRule="exact"/>
              <w:jc w:val="both"/>
              <w:rPr>
                <w:rFonts w:ascii="宋体" w:hAnsi="宋体" w:eastAsia="仿宋_GB2312" w:cs="Times New Roman"/>
                <w:sz w:val="24"/>
                <w:szCs w:val="24"/>
              </w:rPr>
            </w:pPr>
          </w:p>
        </w:tc>
        <w:tc>
          <w:tcPr>
            <w:tcW w:w="622" w:type="dxa"/>
            <w:tcBorders>
              <w:top w:val="single" w:color="000000" w:sz="2" w:space="0"/>
              <w:left w:val="single" w:color="000000" w:sz="2" w:space="0"/>
              <w:bottom w:val="single" w:color="000000" w:sz="2" w:space="0"/>
              <w:right w:val="single" w:color="000000" w:sz="2" w:space="0"/>
            </w:tcBorders>
            <w:noWrap/>
            <w:vAlign w:val="center"/>
          </w:tcPr>
          <w:p>
            <w:pPr>
              <w:spacing w:after="0" w:line="256" w:lineRule="auto"/>
              <w:ind w:left="29"/>
              <w:jc w:val="center"/>
              <w:rPr>
                <w:rFonts w:ascii="微软雅黑" w:hAnsi="微软雅黑" w:eastAsia="微软雅黑" w:cs="微软雅黑"/>
                <w:sz w:val="20"/>
              </w:rPr>
            </w:pPr>
          </w:p>
        </w:tc>
        <w:tc>
          <w:tcPr>
            <w:tcW w:w="4613" w:type="dxa"/>
            <w:tcBorders>
              <w:top w:val="single" w:color="000000" w:sz="2" w:space="0"/>
              <w:left w:val="single" w:color="000000" w:sz="2" w:space="0"/>
              <w:bottom w:val="single" w:color="000000" w:sz="2" w:space="0"/>
              <w:right w:val="single" w:color="000000" w:sz="2" w:space="0"/>
            </w:tcBorders>
            <w:noWrap/>
            <w:vAlign w:val="center"/>
          </w:tcPr>
          <w:p>
            <w:pPr>
              <w:widowControl w:val="0"/>
              <w:spacing w:after="0" w:line="560" w:lineRule="exact"/>
              <w:jc w:val="both"/>
              <w:rPr>
                <w:rFonts w:ascii="宋体" w:hAnsi="宋体" w:eastAsia="仿宋_GB2312" w:cs="Times New Roman"/>
                <w:sz w:val="24"/>
                <w:szCs w:val="24"/>
              </w:rPr>
            </w:pPr>
            <w:r>
              <w:rPr>
                <w:rFonts w:hint="eastAsia" w:ascii="宋体" w:hAnsi="宋体" w:eastAsia="仿宋_GB2312" w:cs="Times New Roman"/>
                <w:sz w:val="24"/>
                <w:szCs w:val="24"/>
              </w:rPr>
              <w:t>出现一票否决事项的，考核计0分。</w:t>
            </w:r>
          </w:p>
        </w:tc>
      </w:tr>
      <w:tr>
        <w:tblPrEx>
          <w:tblCellMar>
            <w:top w:w="43" w:type="dxa"/>
            <w:left w:w="105" w:type="dxa"/>
            <w:bottom w:w="0" w:type="dxa"/>
            <w:right w:w="105" w:type="dxa"/>
          </w:tblCellMar>
        </w:tblPrEx>
        <w:trPr>
          <w:trHeight w:val="2793" w:hRule="atLeast"/>
        </w:trPr>
        <w:tc>
          <w:tcPr>
            <w:tcW w:w="594" w:type="dxa"/>
            <w:tcBorders>
              <w:top w:val="single" w:color="000000" w:sz="2" w:space="0"/>
              <w:left w:val="single" w:color="000000" w:sz="2" w:space="0"/>
              <w:bottom w:val="single" w:color="000000" w:sz="2" w:space="0"/>
              <w:right w:val="single" w:color="000000" w:sz="2" w:space="0"/>
            </w:tcBorders>
            <w:noWrap/>
            <w:vAlign w:val="center"/>
          </w:tcPr>
          <w:p>
            <w:pPr>
              <w:rPr>
                <w:rFonts w:ascii="等线" w:hAnsi="等线" w:eastAsia="等线" w:cs="等线"/>
                <w:sz w:val="21"/>
              </w:rPr>
            </w:pPr>
          </w:p>
        </w:tc>
        <w:tc>
          <w:tcPr>
            <w:tcW w:w="13592" w:type="dxa"/>
            <w:gridSpan w:val="5"/>
            <w:tcBorders>
              <w:top w:val="single" w:color="000000" w:sz="2" w:space="0"/>
              <w:left w:val="single" w:color="000000" w:sz="2" w:space="0"/>
              <w:bottom w:val="single" w:color="000000" w:sz="2" w:space="0"/>
              <w:right w:val="single" w:color="000000" w:sz="2" w:space="0"/>
            </w:tcBorders>
            <w:noWrap/>
            <w:vAlign w:val="center"/>
          </w:tcPr>
          <w:p>
            <w:pPr>
              <w:widowControl w:val="0"/>
              <w:spacing w:after="0" w:line="560" w:lineRule="exact"/>
              <w:jc w:val="both"/>
              <w:rPr>
                <w:rFonts w:ascii="微软雅黑" w:hAnsi="微软雅黑" w:eastAsia="微软雅黑" w:cs="微软雅黑"/>
                <w:sz w:val="20"/>
              </w:rPr>
            </w:pPr>
            <w:r>
              <w:rPr>
                <w:rFonts w:hint="eastAsia" w:ascii="宋体" w:hAnsi="宋体" w:eastAsia="仿宋_GB2312" w:cs="Times New Roman"/>
                <w:sz w:val="24"/>
                <w:szCs w:val="24"/>
              </w:rPr>
              <w:t>1.单项分数扣完为止，考核得分100分-80分（含）为合格，80分以下为不合格。</w:t>
            </w:r>
          </w:p>
        </w:tc>
      </w:tr>
    </w:tbl>
    <w:p>
      <w:pPr>
        <w:spacing w:line="600" w:lineRule="exact"/>
        <w:ind w:right="-161" w:rightChars="-73" w:firstLine="320" w:firstLineChars="100"/>
        <w:rPr>
          <w:rFonts w:ascii="Times New Roman" w:hAnsi="Times New Roman" w:eastAsia="仿宋_GB2312"/>
          <w:sz w:val="32"/>
          <w:szCs w:val="32"/>
        </w:rPr>
      </w:pPr>
    </w:p>
    <w:p/>
    <w:sectPr>
      <w:footerReference r:id="rId3" w:type="default"/>
      <w:pgSz w:w="16838" w:h="11906" w:orient="landscape"/>
      <w:pgMar w:top="1797" w:right="1440" w:bottom="1797"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5</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B88439"/>
    <w:multiLevelType w:val="singleLevel"/>
    <w:tmpl w:val="EDB8843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noPunctuationKerning w:val="1"/>
  <w:characterSpacingControl w:val="doNotCompress"/>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7B"/>
    <w:rsid w:val="00163807"/>
    <w:rsid w:val="001A4AE7"/>
    <w:rsid w:val="001C068F"/>
    <w:rsid w:val="0023073A"/>
    <w:rsid w:val="00322C5F"/>
    <w:rsid w:val="0050047A"/>
    <w:rsid w:val="005327D3"/>
    <w:rsid w:val="00785072"/>
    <w:rsid w:val="007C00CE"/>
    <w:rsid w:val="00815FA6"/>
    <w:rsid w:val="00A73F97"/>
    <w:rsid w:val="00A9285B"/>
    <w:rsid w:val="00AA7527"/>
    <w:rsid w:val="00BA653D"/>
    <w:rsid w:val="00BC1DEA"/>
    <w:rsid w:val="00EB4E42"/>
    <w:rsid w:val="00F23146"/>
    <w:rsid w:val="00F54B7B"/>
    <w:rsid w:val="00FF4ED2"/>
    <w:rsid w:val="0244629A"/>
    <w:rsid w:val="04BC3DD8"/>
    <w:rsid w:val="058C7C13"/>
    <w:rsid w:val="0A9619FE"/>
    <w:rsid w:val="18171AC5"/>
    <w:rsid w:val="18174C30"/>
    <w:rsid w:val="2264412C"/>
    <w:rsid w:val="27B10D52"/>
    <w:rsid w:val="2D6446E5"/>
    <w:rsid w:val="2DA23CB6"/>
    <w:rsid w:val="2FC75D3A"/>
    <w:rsid w:val="30B1607A"/>
    <w:rsid w:val="386D6DAD"/>
    <w:rsid w:val="38AE77B7"/>
    <w:rsid w:val="39D13A8A"/>
    <w:rsid w:val="3A3A5876"/>
    <w:rsid w:val="45B45E05"/>
    <w:rsid w:val="45DF242A"/>
    <w:rsid w:val="46AF0513"/>
    <w:rsid w:val="53A7757F"/>
    <w:rsid w:val="57F07DB2"/>
    <w:rsid w:val="5CE055C6"/>
    <w:rsid w:val="60266AB5"/>
    <w:rsid w:val="61886931"/>
    <w:rsid w:val="64D15D5E"/>
    <w:rsid w:val="68261072"/>
    <w:rsid w:val="68CF32A5"/>
    <w:rsid w:val="6C5643B2"/>
    <w:rsid w:val="7F6836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zh-CN" w:bidi="ar-SA"/>
    </w:rPr>
  </w:style>
  <w:style w:type="paragraph" w:styleId="2">
    <w:name w:val="heading 1"/>
    <w:basedOn w:val="1"/>
    <w:next w:val="1"/>
    <w:link w:val="8"/>
    <w:qFormat/>
    <w:uiPriority w:val="9"/>
    <w:pPr>
      <w:keepNext/>
      <w:keepLines/>
      <w:spacing w:after="3"/>
      <w:ind w:left="10" w:right="14" w:hanging="10"/>
      <w:outlineLvl w:val="0"/>
    </w:pPr>
    <w:rPr>
      <w:rFonts w:ascii="微软雅黑" w:hAnsi="微软雅黑" w:eastAsia="微软雅黑" w:cs="微软雅黑"/>
      <w:sz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5">
    <w:name w:val="Normal (Web)"/>
    <w:basedOn w:val="1"/>
    <w:qFormat/>
    <w:uiPriority w:val="0"/>
    <w:pPr>
      <w:spacing w:before="100" w:beforeAutospacing="1" w:after="100" w:afterAutospacing="1"/>
    </w:pPr>
    <w:rPr>
      <w:rFonts w:cs="Times New Roman"/>
      <w:kern w:val="0"/>
      <w:sz w:val="24"/>
    </w:rPr>
  </w:style>
  <w:style w:type="character" w:customStyle="1" w:styleId="8">
    <w:name w:val="标题 1 Char"/>
    <w:link w:val="2"/>
    <w:qFormat/>
    <w:uiPriority w:val="0"/>
    <w:rPr>
      <w:rFonts w:ascii="微软雅黑" w:hAnsi="微软雅黑" w:eastAsia="微软雅黑" w:cs="微软雅黑"/>
      <w:color w:val="000000"/>
      <w:sz w:val="32"/>
    </w:rPr>
  </w:style>
  <w:style w:type="table" w:customStyle="1" w:styleId="9">
    <w:name w:val="TableGrid"/>
    <w:basedOn w:val="6"/>
    <w:qFormat/>
    <w:uiPriority w:val="0"/>
    <w:tblPr>
      <w:tblCellMar>
        <w:top w:w="0" w:type="dxa"/>
        <w:left w:w="0" w:type="dxa"/>
        <w:bottom w:w="0" w:type="dxa"/>
        <w:right w:w="0" w:type="dxa"/>
      </w:tblCellMar>
    </w:tblPr>
  </w:style>
  <w:style w:type="character" w:customStyle="1" w:styleId="10">
    <w:name w:val="页眉 Char"/>
    <w:basedOn w:val="7"/>
    <w:link w:val="4"/>
    <w:semiHidden/>
    <w:qFormat/>
    <w:uiPriority w:val="99"/>
    <w:rPr>
      <w:rFonts w:ascii="Calibri" w:hAnsi="Calibri" w:eastAsia="Calibri" w:cs="Calibri"/>
      <w:color w:val="000000"/>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556</Words>
  <Characters>3175</Characters>
  <Lines>26</Lines>
  <Paragraphs>7</Paragraphs>
  <TotalTime>84</TotalTime>
  <ScaleCrop>false</ScaleCrop>
  <LinksUpToDate>false</LinksUpToDate>
  <CharactersWithSpaces>3724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2020-06-17T09:01:00Z</dcterms:created>
  <dc:creator>天含 林</dc:creator>
  <cp:lastModifiedBy>林天含</cp:lastModifiedBy>
  <dcterms:modified xsi:type="dcterms:W3CDTF">2020-10-30T00:46:40Z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